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FE1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14:paraId="0C5C4CC2">
      <w:pPr>
        <w:pStyle w:val="6"/>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密评机构评分表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56"/>
        <w:gridCol w:w="5730"/>
        <w:gridCol w:w="771"/>
      </w:tblGrid>
      <w:tr w14:paraId="1C2E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blHeader/>
          <w:jc w:val="center"/>
        </w:trPr>
        <w:tc>
          <w:tcPr>
            <w:tcW w:w="447" w:type="pct"/>
            <w:vAlign w:val="center"/>
          </w:tcPr>
          <w:p w14:paraId="2A5B3BA1">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b/>
                <w:bCs/>
                <w:highlight w:val="none"/>
              </w:rPr>
            </w:pPr>
            <w:r>
              <w:rPr>
                <w:rFonts w:hint="default" w:ascii="Times New Roman" w:hAnsi="Times New Roman" w:cs="Times New Roman"/>
                <w:b/>
                <w:bCs/>
                <w:highlight w:val="none"/>
              </w:rPr>
              <w:t>序号</w:t>
            </w:r>
          </w:p>
        </w:tc>
        <w:tc>
          <w:tcPr>
            <w:tcW w:w="737" w:type="pct"/>
            <w:vAlign w:val="center"/>
          </w:tcPr>
          <w:p w14:paraId="23D5A092">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b/>
                <w:bCs/>
                <w:highlight w:val="none"/>
              </w:rPr>
            </w:pPr>
            <w:r>
              <w:rPr>
                <w:rFonts w:hint="default" w:ascii="Times New Roman" w:hAnsi="Times New Roman" w:cs="Times New Roman"/>
                <w:b/>
                <w:bCs/>
                <w:highlight w:val="none"/>
              </w:rPr>
              <w:t>评审内容</w:t>
            </w:r>
          </w:p>
        </w:tc>
        <w:tc>
          <w:tcPr>
            <w:tcW w:w="3362" w:type="pct"/>
            <w:vAlign w:val="center"/>
          </w:tcPr>
          <w:p w14:paraId="4626543B">
            <w:pPr>
              <w:pStyle w:val="9"/>
              <w:keepNext w:val="0"/>
              <w:keepLines w:val="0"/>
              <w:suppressLineNumbers w:val="0"/>
              <w:shd w:val="clear"/>
              <w:bidi w:val="0"/>
              <w:spacing w:before="0" w:beforeAutospacing="0" w:after="0" w:afterAutospacing="0"/>
              <w:ind w:left="0" w:right="0"/>
              <w:jc w:val="center"/>
              <w:rPr>
                <w:rFonts w:hint="default" w:ascii="Times New Roman" w:hAnsi="Times New Roman" w:cs="Times New Roman"/>
                <w:b/>
                <w:bCs/>
                <w:highlight w:val="none"/>
              </w:rPr>
            </w:pPr>
            <w:r>
              <w:rPr>
                <w:rFonts w:hint="default" w:ascii="Times New Roman" w:hAnsi="Times New Roman" w:cs="Times New Roman"/>
                <w:b/>
                <w:bCs/>
                <w:highlight w:val="none"/>
              </w:rPr>
              <w:t>评分标准</w:t>
            </w:r>
          </w:p>
        </w:tc>
        <w:tc>
          <w:tcPr>
            <w:tcW w:w="452" w:type="pct"/>
            <w:vAlign w:val="center"/>
          </w:tcPr>
          <w:p w14:paraId="6245A167">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b/>
                <w:bCs/>
                <w:highlight w:val="none"/>
                <w:lang w:eastAsia="zh-CN"/>
              </w:rPr>
            </w:pPr>
            <w:r>
              <w:rPr>
                <w:rFonts w:hint="default" w:ascii="Times New Roman" w:hAnsi="Times New Roman" w:cs="Times New Roman"/>
                <w:b/>
                <w:bCs/>
                <w:highlight w:val="none"/>
                <w:lang w:val="en-US" w:eastAsia="zh-CN"/>
              </w:rPr>
              <w:t>满分</w:t>
            </w:r>
          </w:p>
        </w:tc>
      </w:tr>
      <w:tr w14:paraId="326F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vAlign w:val="center"/>
          </w:tcPr>
          <w:p w14:paraId="2E511863">
            <w:pPr>
              <w:pStyle w:val="9"/>
              <w:keepNext w:val="0"/>
              <w:keepLines w:val="0"/>
              <w:suppressLineNumbers w:val="0"/>
              <w:shd w:val="clear"/>
              <w:bidi w:val="0"/>
              <w:spacing w:before="0" w:beforeAutospacing="0" w:after="0" w:afterAutospacing="0"/>
              <w:ind w:left="0" w:right="0"/>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1</w:t>
            </w:r>
          </w:p>
        </w:tc>
        <w:tc>
          <w:tcPr>
            <w:tcW w:w="737" w:type="pct"/>
            <w:vAlign w:val="center"/>
          </w:tcPr>
          <w:p w14:paraId="70BD962A">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投标人实力</w:t>
            </w:r>
          </w:p>
        </w:tc>
        <w:tc>
          <w:tcPr>
            <w:tcW w:w="3362" w:type="pct"/>
            <w:vAlign w:val="center"/>
          </w:tcPr>
          <w:p w14:paraId="7094AF14">
            <w:pPr>
              <w:pStyle w:val="3"/>
              <w:numPr>
                <w:ilvl w:val="0"/>
                <w:numId w:val="0"/>
              </w:numPr>
              <w:shd w:val="clear"/>
              <w:ind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w:t>
            </w:r>
            <w:r>
              <w:rPr>
                <w:rFonts w:hint="default" w:ascii="Times New Roman" w:hAnsi="Times New Roman" w:cs="Times New Roman"/>
                <w:highlight w:val="none"/>
                <w:lang w:val="en-US" w:eastAsia="zh-CN"/>
              </w:rPr>
              <w:t>投标人具备</w:t>
            </w:r>
            <w:r>
              <w:rPr>
                <w:rFonts w:hint="eastAsia" w:ascii="Times New Roman" w:hAnsi="Times New Roman" w:cs="Times New Roman"/>
                <w:highlight w:val="none"/>
                <w:lang w:val="en-US" w:eastAsia="zh-CN"/>
              </w:rPr>
              <w:t>ISO9001</w:t>
            </w:r>
            <w:r>
              <w:rPr>
                <w:rFonts w:hint="default" w:ascii="Times New Roman" w:hAnsi="Times New Roman" w:cs="Times New Roman"/>
                <w:highlight w:val="none"/>
                <w:lang w:val="en-US" w:eastAsia="zh-CN"/>
              </w:rPr>
              <w:t>质量管理体系认证证书</w:t>
            </w:r>
            <w:r>
              <w:rPr>
                <w:rFonts w:hint="eastAsia" w:ascii="Times New Roman" w:hAnsi="Times New Roman" w:cs="Times New Roman"/>
                <w:highlight w:val="none"/>
                <w:lang w:val="en-US" w:eastAsia="zh-CN"/>
              </w:rPr>
              <w:t>得2分，不提供不得分；</w:t>
            </w:r>
          </w:p>
          <w:p w14:paraId="74152056">
            <w:pPr>
              <w:pStyle w:val="3"/>
              <w:numPr>
                <w:ilvl w:val="0"/>
                <w:numId w:val="0"/>
              </w:numPr>
              <w:shd w:val="clear"/>
              <w:ind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2.投标人具备ISO20000</w:t>
            </w:r>
            <w:r>
              <w:rPr>
                <w:rFonts w:hint="default" w:ascii="Times New Roman" w:hAnsi="Times New Roman" w:cs="Times New Roman"/>
                <w:highlight w:val="none"/>
                <w:lang w:val="en-US" w:eastAsia="zh-CN"/>
              </w:rPr>
              <w:t>信息技术服务管理体系认证证书</w:t>
            </w:r>
            <w:r>
              <w:rPr>
                <w:rFonts w:hint="eastAsia" w:ascii="Times New Roman" w:hAnsi="Times New Roman" w:cs="Times New Roman"/>
                <w:highlight w:val="none"/>
                <w:lang w:val="en-US" w:eastAsia="zh-CN"/>
              </w:rPr>
              <w:t>得2分，不提供不得分；</w:t>
            </w:r>
          </w:p>
          <w:p w14:paraId="1DFF6A21">
            <w:pPr>
              <w:pStyle w:val="3"/>
              <w:numPr>
                <w:ilvl w:val="0"/>
                <w:numId w:val="0"/>
              </w:numPr>
              <w:shd w:val="clear"/>
              <w:ind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3.投标人具备ISO27001</w:t>
            </w:r>
            <w:r>
              <w:rPr>
                <w:rFonts w:hint="default" w:ascii="Times New Roman" w:hAnsi="Times New Roman" w:cs="Times New Roman"/>
                <w:highlight w:val="none"/>
                <w:lang w:val="en-US" w:eastAsia="zh-CN"/>
              </w:rPr>
              <w:t>信息安全管理体系认证证书</w:t>
            </w:r>
            <w:r>
              <w:rPr>
                <w:rFonts w:hint="eastAsia" w:ascii="Times New Roman" w:hAnsi="Times New Roman" w:cs="Times New Roman"/>
                <w:highlight w:val="none"/>
                <w:lang w:val="en-US" w:eastAsia="zh-CN"/>
              </w:rPr>
              <w:t>得2分，不提供不得分。</w:t>
            </w:r>
          </w:p>
          <w:p w14:paraId="5D7E5736">
            <w:pPr>
              <w:pStyle w:val="3"/>
              <w:numPr>
                <w:ilvl w:val="0"/>
                <w:numId w:val="0"/>
              </w:numPr>
              <w:shd w:val="clear"/>
              <w:ind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以上证书认证范围应包含</w:t>
            </w:r>
            <w:r>
              <w:rPr>
                <w:rFonts w:hint="default" w:ascii="Times New Roman" w:hAnsi="Times New Roman" w:cs="Times New Roman"/>
                <w:highlight w:val="none"/>
                <w:lang w:val="en-US" w:eastAsia="zh-CN"/>
              </w:rPr>
              <w:t>商用密码应用安全性评估服务</w:t>
            </w:r>
            <w:r>
              <w:rPr>
                <w:rFonts w:hint="eastAsia" w:ascii="Times New Roman" w:hAnsi="Times New Roman" w:cs="Times New Roman"/>
                <w:highlight w:val="none"/>
                <w:lang w:val="en-US" w:eastAsia="zh-CN"/>
              </w:rPr>
              <w:t>和</w:t>
            </w:r>
            <w:r>
              <w:rPr>
                <w:rFonts w:hint="default" w:ascii="Times New Roman" w:hAnsi="Times New Roman" w:cs="Times New Roman"/>
                <w:highlight w:val="none"/>
                <w:lang w:val="en-US" w:eastAsia="zh-CN"/>
              </w:rPr>
              <w:t>计算机信息安全技术咨询服务</w:t>
            </w:r>
            <w:r>
              <w:rPr>
                <w:rFonts w:hint="eastAsia" w:ascii="Times New Roman" w:hAnsi="Times New Roman" w:cs="Times New Roman"/>
                <w:highlight w:val="none"/>
                <w:lang w:val="en-US" w:eastAsia="zh-CN"/>
              </w:rPr>
              <w:t>，提供证书复印件且在有效期内。</w:t>
            </w:r>
          </w:p>
        </w:tc>
        <w:tc>
          <w:tcPr>
            <w:tcW w:w="452" w:type="pct"/>
            <w:vAlign w:val="center"/>
          </w:tcPr>
          <w:p w14:paraId="1CE31245">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lang w:val="en-US" w:eastAsia="zh-CN"/>
              </w:rPr>
              <w:t>6</w:t>
            </w:r>
          </w:p>
        </w:tc>
      </w:tr>
      <w:tr w14:paraId="6A7F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vAlign w:val="center"/>
          </w:tcPr>
          <w:p w14:paraId="24EE76BF">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2</w:t>
            </w:r>
          </w:p>
        </w:tc>
        <w:tc>
          <w:tcPr>
            <w:tcW w:w="737" w:type="pct"/>
            <w:vAlign w:val="center"/>
          </w:tcPr>
          <w:p w14:paraId="2F340245">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测评工具</w:t>
            </w:r>
          </w:p>
        </w:tc>
        <w:tc>
          <w:tcPr>
            <w:tcW w:w="3362" w:type="pct"/>
            <w:vAlign w:val="center"/>
          </w:tcPr>
          <w:p w14:paraId="6DD32DC5">
            <w:pPr>
              <w:pStyle w:val="3"/>
              <w:numPr>
                <w:ilvl w:val="0"/>
                <w:numId w:val="0"/>
              </w:numPr>
              <w:shd w:val="clear"/>
              <w:ind w:leftChars="0" w:right="0" w:rightChars="0"/>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投标人具有TLS协议安全检测平台</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随机性检测软件、IPSec/SSL协议检测工具软件、密码算法验证工具平台等测评工具，每提供1个得2分，最多不超过6分</w:t>
            </w:r>
            <w:r>
              <w:rPr>
                <w:rFonts w:hint="eastAsia" w:ascii="Times New Roman" w:hAnsi="Times New Roman" w:cs="Times New Roman"/>
                <w:highlight w:val="none"/>
                <w:lang w:val="en-US" w:eastAsia="zh-CN"/>
              </w:rPr>
              <w:t>。</w:t>
            </w:r>
          </w:p>
          <w:p w14:paraId="1FD32905">
            <w:pPr>
              <w:pStyle w:val="3"/>
              <w:numPr>
                <w:ilvl w:val="0"/>
                <w:numId w:val="0"/>
              </w:numPr>
              <w:shd w:val="clear"/>
              <w:ind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以上自主研发的提供国家版权局出具的有效软件著作权登记证书，购买版权的提供发票和有效的采购合同复印件加盖公章。</w:t>
            </w:r>
          </w:p>
        </w:tc>
        <w:tc>
          <w:tcPr>
            <w:tcW w:w="452" w:type="pct"/>
            <w:vAlign w:val="center"/>
          </w:tcPr>
          <w:p w14:paraId="4F3DEF5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lang w:val="en-US" w:eastAsia="zh-CN"/>
              </w:rPr>
              <w:t>6</w:t>
            </w:r>
          </w:p>
        </w:tc>
      </w:tr>
      <w:tr w14:paraId="4BDA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pct"/>
            <w:vAlign w:val="center"/>
          </w:tcPr>
          <w:p w14:paraId="795C5487">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3</w:t>
            </w:r>
          </w:p>
        </w:tc>
        <w:tc>
          <w:tcPr>
            <w:tcW w:w="737" w:type="pct"/>
            <w:vAlign w:val="center"/>
          </w:tcPr>
          <w:p w14:paraId="01E66BEA">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拟派项目负责人实力</w:t>
            </w:r>
          </w:p>
        </w:tc>
        <w:tc>
          <w:tcPr>
            <w:tcW w:w="3362" w:type="pct"/>
            <w:vAlign w:val="center"/>
          </w:tcPr>
          <w:p w14:paraId="5A22321D">
            <w:pPr>
              <w:pStyle w:val="3"/>
              <w:shd w:val="clear"/>
              <w:ind w:left="0" w:leftChars="0" w:firstLine="0" w:firstLine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投入本项目负责人应通过商用密码应用安全性评估能力考试并取得证书，</w:t>
            </w:r>
            <w:r>
              <w:rPr>
                <w:rFonts w:hint="eastAsia" w:ascii="Times New Roman" w:hAnsi="Times New Roman" w:cs="Times New Roman"/>
                <w:highlight w:val="none"/>
                <w:lang w:val="en-US" w:eastAsia="zh-CN"/>
              </w:rPr>
              <w:t>在此基础上，</w:t>
            </w:r>
            <w:r>
              <w:rPr>
                <w:rFonts w:hint="default" w:ascii="Times New Roman" w:hAnsi="Times New Roman" w:cs="Times New Roman"/>
                <w:highlight w:val="none"/>
                <w:lang w:val="en-US" w:eastAsia="zh-CN"/>
              </w:rPr>
              <w:t>具有计算机技术与软件专业技术资格（</w:t>
            </w:r>
            <w:r>
              <w:rPr>
                <w:rFonts w:hint="eastAsia" w:ascii="Times New Roman" w:hAnsi="Times New Roman" w:cs="Times New Roman"/>
                <w:highlight w:val="none"/>
                <w:lang w:val="en-US" w:eastAsia="zh-CN"/>
              </w:rPr>
              <w:t>中级</w:t>
            </w:r>
            <w:r>
              <w:rPr>
                <w:rFonts w:hint="default" w:ascii="Times New Roman" w:hAnsi="Times New Roman" w:cs="Times New Roman"/>
                <w:highlight w:val="none"/>
                <w:lang w:val="en-US" w:eastAsia="zh-CN"/>
              </w:rPr>
              <w:t>信息安全工程师）证书</w:t>
            </w:r>
            <w:r>
              <w:rPr>
                <w:rFonts w:hint="eastAsia" w:ascii="Times New Roman" w:hAnsi="Times New Roman" w:cs="Times New Roman"/>
                <w:highlight w:val="none"/>
                <w:lang w:val="en-US" w:eastAsia="zh-CN"/>
              </w:rPr>
              <w:t>和</w:t>
            </w:r>
            <w:r>
              <w:rPr>
                <w:rFonts w:hint="default" w:ascii="Times New Roman" w:hAnsi="Times New Roman" w:cs="Times New Roman"/>
                <w:highlight w:val="none"/>
                <w:lang w:val="en-US" w:eastAsia="zh-CN"/>
              </w:rPr>
              <w:t>计算机技术与软件专业技术资格（</w:t>
            </w:r>
            <w:r>
              <w:rPr>
                <w:rFonts w:hint="eastAsia" w:ascii="Times New Roman" w:hAnsi="Times New Roman" w:cs="Times New Roman"/>
                <w:highlight w:val="none"/>
                <w:lang w:val="en-US" w:eastAsia="zh-CN"/>
              </w:rPr>
              <w:t>中级网络</w:t>
            </w:r>
            <w:r>
              <w:rPr>
                <w:rFonts w:hint="default" w:ascii="Times New Roman" w:hAnsi="Times New Roman" w:cs="Times New Roman"/>
                <w:highlight w:val="none"/>
                <w:lang w:val="en-US" w:eastAsia="zh-CN"/>
              </w:rPr>
              <w:t>工程师）证书得6分，</w:t>
            </w:r>
            <w:r>
              <w:rPr>
                <w:rFonts w:hint="eastAsia" w:ascii="Times New Roman" w:hAnsi="Times New Roman" w:cs="Times New Roman"/>
                <w:highlight w:val="none"/>
                <w:lang w:val="en-US" w:eastAsia="zh-CN"/>
              </w:rPr>
              <w:t>每提供1个得3分，最高6分</w:t>
            </w:r>
            <w:r>
              <w:rPr>
                <w:rFonts w:hint="default" w:ascii="Times New Roman" w:hAnsi="Times New Roman" w:cs="Times New Roman"/>
                <w:highlight w:val="none"/>
                <w:lang w:val="en-US" w:eastAsia="zh-CN"/>
              </w:rPr>
              <w:t>。</w:t>
            </w:r>
          </w:p>
          <w:p w14:paraId="54477CDD">
            <w:pPr>
              <w:pStyle w:val="3"/>
              <w:shd w:val="clear"/>
              <w:ind w:left="0" w:leftChars="0" w:firstLine="0" w:firstLine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以上</w:t>
            </w:r>
            <w:r>
              <w:rPr>
                <w:rFonts w:hint="default" w:ascii="Times New Roman" w:hAnsi="Times New Roman" w:cs="Times New Roman"/>
                <w:highlight w:val="none"/>
                <w:lang w:val="en-US" w:eastAsia="zh-CN"/>
              </w:rPr>
              <w:t>提供证书复印件并加盖公章；提供人员</w:t>
            </w:r>
            <w:r>
              <w:rPr>
                <w:rFonts w:hint="eastAsia" w:ascii="Times New Roman" w:hAnsi="Times New Roman" w:cs="Times New Roman"/>
                <w:highlight w:val="none"/>
                <w:lang w:val="en-US" w:eastAsia="zh-CN"/>
              </w:rPr>
              <w:t>近</w:t>
            </w:r>
            <w:r>
              <w:rPr>
                <w:rFonts w:hint="default" w:ascii="Times New Roman" w:hAnsi="Times New Roman" w:cs="Times New Roman"/>
                <w:highlight w:val="none"/>
                <w:lang w:val="en-US" w:eastAsia="zh-CN"/>
              </w:rPr>
              <w:t>3个月社保缴纳证明</w:t>
            </w:r>
            <w:r>
              <w:rPr>
                <w:rFonts w:hint="eastAsia" w:ascii="Times New Roman" w:hAnsi="Times New Roman" w:cs="Times New Roman"/>
                <w:highlight w:val="none"/>
                <w:lang w:val="en-US" w:eastAsia="zh-CN"/>
              </w:rPr>
              <w:t>。</w:t>
            </w:r>
          </w:p>
        </w:tc>
        <w:tc>
          <w:tcPr>
            <w:tcW w:w="452" w:type="pct"/>
            <w:vAlign w:val="center"/>
          </w:tcPr>
          <w:p w14:paraId="5D16E9F0">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cs="Times New Roman" w:eastAsiaTheme="minorEastAsia"/>
                <w:color w:val="000000"/>
                <w:sz w:val="21"/>
                <w:szCs w:val="21"/>
                <w:highlight w:val="none"/>
                <w:lang w:val="en-US" w:eastAsia="zh-CN"/>
              </w:rPr>
              <w:t>6</w:t>
            </w:r>
          </w:p>
        </w:tc>
      </w:tr>
      <w:tr w14:paraId="15EE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0FAA31C0">
            <w:pPr>
              <w:pStyle w:val="9"/>
              <w:keepNext w:val="0"/>
              <w:keepLines w:val="0"/>
              <w:suppressLineNumbers w:val="0"/>
              <w:shd w:val="clear"/>
              <w:bidi w:val="0"/>
              <w:spacing w:before="0" w:beforeAutospacing="0" w:after="0" w:afterAutospacing="0"/>
              <w:ind w:left="0" w:right="0"/>
              <w:rPr>
                <w:rFonts w:hint="default" w:ascii="Times New Roman" w:hAnsi="Times New Roman" w:eastAsia="宋体" w:cs="Times New Roman"/>
                <w:highlight w:val="none"/>
                <w:lang w:eastAsia="zh-CN"/>
              </w:rPr>
            </w:pPr>
            <w:r>
              <w:rPr>
                <w:rFonts w:hint="eastAsia" w:cs="Times New Roman"/>
                <w:highlight w:val="none"/>
                <w:lang w:val="en-US" w:eastAsia="zh-CN"/>
              </w:rPr>
              <w:t>4</w:t>
            </w:r>
          </w:p>
        </w:tc>
        <w:tc>
          <w:tcPr>
            <w:tcW w:w="737" w:type="pct"/>
            <w:vAlign w:val="center"/>
          </w:tcPr>
          <w:p w14:paraId="6AB77D7C">
            <w:pPr>
              <w:pStyle w:val="9"/>
              <w:keepNext w:val="0"/>
              <w:keepLines w:val="0"/>
              <w:suppressLineNumbers w:val="0"/>
              <w:shd w:val="clear"/>
              <w:bidi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拟派项目团队实力</w:t>
            </w:r>
          </w:p>
        </w:tc>
        <w:tc>
          <w:tcPr>
            <w:tcW w:w="3362" w:type="pct"/>
            <w:vAlign w:val="center"/>
          </w:tcPr>
          <w:p w14:paraId="05C264E2">
            <w:pPr>
              <w:pStyle w:val="3"/>
              <w:shd w:val="clear"/>
              <w:ind w:left="0" w:leftChars="0" w:firstLine="0" w:firstLineChars="0"/>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投入本项目组员（</w:t>
            </w:r>
            <w:r>
              <w:rPr>
                <w:rFonts w:hint="eastAsia" w:ascii="Times New Roman" w:hAnsi="Times New Roman" w:cs="Times New Roman"/>
                <w:highlight w:val="none"/>
                <w:lang w:val="en-US" w:eastAsia="zh-CN"/>
              </w:rPr>
              <w:t>项目</w:t>
            </w:r>
            <w:r>
              <w:rPr>
                <w:rFonts w:hint="default" w:ascii="Times New Roman" w:hAnsi="Times New Roman" w:cs="Times New Roman"/>
                <w:highlight w:val="none"/>
                <w:lang w:val="en-US" w:eastAsia="zh-CN"/>
              </w:rPr>
              <w:t>负责人除外）应通过商用密码应用安全性评估能力考试并取得证书</w:t>
            </w:r>
            <w:r>
              <w:rPr>
                <w:rFonts w:hint="eastAsia" w:ascii="Times New Roman" w:hAnsi="Times New Roman" w:cs="Times New Roman"/>
                <w:highlight w:val="none"/>
                <w:lang w:val="en-US" w:eastAsia="zh-CN"/>
              </w:rPr>
              <w:t>，在此基础上：</w:t>
            </w:r>
          </w:p>
          <w:p w14:paraId="0367DA56">
            <w:pPr>
              <w:pStyle w:val="3"/>
              <w:shd w:val="clear"/>
              <w:ind w:left="0" w:leftChars="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1.具备注册信息安全工程师（CISP-CISE）证书，每提供1名得3分，最高9分；</w:t>
            </w:r>
          </w:p>
          <w:p w14:paraId="70F0D294">
            <w:pPr>
              <w:pStyle w:val="3"/>
              <w:shd w:val="clear"/>
              <w:ind w:left="0" w:leftChars="0" w:firstLine="0" w:firstLine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2.具备</w:t>
            </w:r>
            <w:r>
              <w:rPr>
                <w:rFonts w:hint="default" w:ascii="Times New Roman" w:hAnsi="Times New Roman" w:cs="Times New Roman"/>
                <w:highlight w:val="none"/>
                <w:lang w:val="en-US" w:eastAsia="zh-CN"/>
              </w:rPr>
              <w:t>计算机技术与软件专业技术资格（</w:t>
            </w:r>
            <w:r>
              <w:rPr>
                <w:rFonts w:hint="eastAsia" w:ascii="Times New Roman" w:hAnsi="Times New Roman" w:cs="Times New Roman"/>
                <w:highlight w:val="none"/>
                <w:lang w:val="en-US" w:eastAsia="zh-CN"/>
              </w:rPr>
              <w:t>中级</w:t>
            </w:r>
            <w:r>
              <w:rPr>
                <w:rFonts w:hint="default" w:ascii="Times New Roman" w:hAnsi="Times New Roman" w:cs="Times New Roman"/>
                <w:highlight w:val="none"/>
                <w:lang w:val="en-US" w:eastAsia="zh-CN"/>
              </w:rPr>
              <w:t>信息安全工程师）</w:t>
            </w:r>
            <w:r>
              <w:rPr>
                <w:rFonts w:hint="eastAsia" w:ascii="Times New Roman" w:hAnsi="Times New Roman" w:cs="Times New Roman"/>
                <w:highlight w:val="none"/>
                <w:lang w:val="en-US" w:eastAsia="zh-CN"/>
              </w:rPr>
              <w:t>证书，每提供1名得3分，最高3分；</w:t>
            </w:r>
          </w:p>
          <w:p w14:paraId="5002F525">
            <w:pPr>
              <w:pStyle w:val="3"/>
              <w:shd w:val="clear"/>
              <w:ind w:left="0" w:leftChars="0" w:firstLine="0" w:firstLine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3.具备计算机技术与软件专业技术资格（中级</w:t>
            </w:r>
            <w:r>
              <w:rPr>
                <w:rFonts w:hint="default" w:ascii="Times New Roman" w:hAnsi="Times New Roman" w:eastAsia="宋体" w:cs="Times New Roman"/>
                <w:highlight w:val="none"/>
                <w:lang w:val="en-US" w:eastAsia="zh-CN"/>
              </w:rPr>
              <w:t>系统集成项目管理工程师</w:t>
            </w:r>
            <w:r>
              <w:rPr>
                <w:rFonts w:hint="eastAsia" w:ascii="Times New Roman" w:hAnsi="Times New Roman" w:eastAsia="宋体" w:cs="Times New Roman"/>
                <w:highlight w:val="none"/>
                <w:lang w:val="en-US" w:eastAsia="zh-CN"/>
              </w:rPr>
              <w:t>）证书，</w:t>
            </w:r>
            <w:r>
              <w:rPr>
                <w:rFonts w:hint="eastAsia" w:ascii="Times New Roman" w:hAnsi="Times New Roman" w:cs="Times New Roman"/>
                <w:highlight w:val="none"/>
                <w:lang w:val="en-US" w:eastAsia="zh-CN"/>
              </w:rPr>
              <w:t>每提供1名得3分，最高3分</w:t>
            </w:r>
            <w:r>
              <w:rPr>
                <w:rFonts w:hint="eastAsia" w:ascii="Times New Roman" w:hAnsi="Times New Roman" w:eastAsia="宋体" w:cs="Times New Roman"/>
                <w:highlight w:val="none"/>
                <w:lang w:val="en-US" w:eastAsia="zh-CN"/>
              </w:rPr>
              <w:t>。</w:t>
            </w:r>
          </w:p>
          <w:p w14:paraId="50DD3BD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以上</w:t>
            </w:r>
            <w:r>
              <w:rPr>
                <w:rFonts w:hint="default" w:ascii="Times New Roman" w:hAnsi="Times New Roman" w:eastAsia="宋体" w:cs="Times New Roman"/>
                <w:highlight w:val="none"/>
                <w:lang w:val="en-US" w:eastAsia="zh-CN"/>
              </w:rPr>
              <w:t>提供证书复印件并加盖公章；提供人员</w:t>
            </w:r>
            <w:r>
              <w:rPr>
                <w:rFonts w:hint="eastAsia" w:ascii="Times New Roman" w:hAnsi="Times New Roman" w:eastAsia="宋体" w:cs="Times New Roman"/>
                <w:highlight w:val="none"/>
                <w:lang w:val="en-US" w:eastAsia="zh-CN"/>
              </w:rPr>
              <w:t>近</w:t>
            </w:r>
            <w:r>
              <w:rPr>
                <w:rFonts w:hint="default" w:ascii="Times New Roman" w:hAnsi="Times New Roman" w:eastAsia="宋体" w:cs="Times New Roman"/>
                <w:highlight w:val="none"/>
                <w:lang w:val="en-US" w:eastAsia="zh-CN"/>
              </w:rPr>
              <w:t>3个月社保缴纳证明</w:t>
            </w:r>
            <w:r>
              <w:rPr>
                <w:rFonts w:hint="eastAsia" w:ascii="Times New Roman" w:hAnsi="Times New Roman" w:eastAsia="宋体" w:cs="Times New Roman"/>
                <w:highlight w:val="none"/>
                <w:lang w:val="en-US" w:eastAsia="zh-CN"/>
              </w:rPr>
              <w:t>；</w:t>
            </w:r>
            <w:r>
              <w:rPr>
                <w:rFonts w:hint="default" w:ascii="Times New Roman" w:hAnsi="Times New Roman" w:eastAsia="宋体" w:cs="Times New Roman"/>
                <w:highlight w:val="none"/>
                <w:lang w:val="en-US" w:eastAsia="zh-CN"/>
              </w:rPr>
              <w:t>供应商现场实施人员应持证测评，并且必须为投标文件中的人员，若供应商后续签订合同后不按投标文件安排实施人员的，将视为虚假应标</w:t>
            </w:r>
            <w:r>
              <w:rPr>
                <w:rFonts w:hint="eastAsia" w:ascii="Times New Roman" w:hAnsi="Times New Roman" w:eastAsia="宋体" w:cs="Times New Roman"/>
                <w:highlight w:val="none"/>
                <w:lang w:val="en-US" w:eastAsia="zh-CN"/>
              </w:rPr>
              <w:t>。</w:t>
            </w:r>
          </w:p>
        </w:tc>
        <w:tc>
          <w:tcPr>
            <w:tcW w:w="452" w:type="pct"/>
            <w:vAlign w:val="center"/>
          </w:tcPr>
          <w:p w14:paraId="2BA0B280">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highlight w:val="none"/>
                <w:lang w:val="en-US" w:eastAsia="zh-CN"/>
              </w:rPr>
            </w:pPr>
            <w:r>
              <w:rPr>
                <w:rFonts w:hint="eastAsia" w:ascii="Times New Roman" w:hAnsi="Times New Roman" w:cs="Times New Roman" w:eastAsiaTheme="minorEastAsia"/>
                <w:color w:val="auto"/>
                <w:sz w:val="21"/>
                <w:szCs w:val="21"/>
                <w:highlight w:val="none"/>
                <w:lang w:val="en-US" w:eastAsia="zh-CN"/>
              </w:rPr>
              <w:t>15</w:t>
            </w:r>
          </w:p>
        </w:tc>
      </w:tr>
      <w:tr w14:paraId="5211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6CD3B8D1">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5</w:t>
            </w:r>
          </w:p>
        </w:tc>
        <w:tc>
          <w:tcPr>
            <w:tcW w:w="737" w:type="pct"/>
            <w:vAlign w:val="center"/>
          </w:tcPr>
          <w:p w14:paraId="21BFA94E">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highlight w:val="none"/>
                <w:lang w:eastAsia="zh-CN"/>
              </w:rPr>
            </w:pPr>
            <w:r>
              <w:rPr>
                <w:rFonts w:hint="eastAsia" w:cs="Times New Roman" w:asciiTheme="minorEastAsia" w:hAnsiTheme="minorEastAsia" w:eastAsiaTheme="minorEastAsia"/>
                <w:color w:val="000000"/>
                <w:sz w:val="21"/>
                <w:szCs w:val="21"/>
                <w:highlight w:val="none"/>
              </w:rPr>
              <w:t>实验环境</w:t>
            </w:r>
          </w:p>
        </w:tc>
        <w:tc>
          <w:tcPr>
            <w:tcW w:w="3362" w:type="pct"/>
            <w:vAlign w:val="center"/>
          </w:tcPr>
          <w:p w14:paraId="1637A47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cs="Times New Roman" w:asciiTheme="minorEastAsia" w:hAnsiTheme="minorEastAsia" w:eastAsiaTheme="minorEastAsia"/>
                <w:color w:val="auto"/>
                <w:sz w:val="21"/>
                <w:szCs w:val="21"/>
                <w:highlight w:val="none"/>
                <w:shd w:val="clear"/>
              </w:rPr>
            </w:pPr>
            <w:r>
              <w:rPr>
                <w:rFonts w:hint="default" w:cs="Times New Roman" w:asciiTheme="minorEastAsia" w:hAnsiTheme="minorEastAsia" w:eastAsiaTheme="minorEastAsia"/>
                <w:color w:val="auto"/>
                <w:sz w:val="21"/>
                <w:szCs w:val="21"/>
                <w:highlight w:val="none"/>
                <w:shd w:val="clear"/>
                <w:lang w:val="en-US" w:eastAsia="zh-CN"/>
              </w:rPr>
              <w:t>投标人具有商用密码设备搭建的模拟仿真实验环境，每提供一种商用密码设备得</w:t>
            </w:r>
            <w:r>
              <w:rPr>
                <w:rFonts w:hint="eastAsia" w:cs="Times New Roman" w:asciiTheme="minorEastAsia" w:hAnsiTheme="minorEastAsia" w:eastAsiaTheme="minorEastAsia"/>
                <w:color w:val="auto"/>
                <w:sz w:val="21"/>
                <w:szCs w:val="21"/>
                <w:highlight w:val="none"/>
                <w:shd w:val="clear"/>
                <w:lang w:val="en-US" w:eastAsia="zh-CN"/>
              </w:rPr>
              <w:t>2</w:t>
            </w:r>
            <w:r>
              <w:rPr>
                <w:rFonts w:hint="default" w:cs="Times New Roman" w:asciiTheme="minorEastAsia" w:hAnsiTheme="minorEastAsia" w:eastAsiaTheme="minorEastAsia"/>
                <w:color w:val="auto"/>
                <w:sz w:val="21"/>
                <w:szCs w:val="21"/>
                <w:highlight w:val="none"/>
                <w:shd w:val="clear"/>
                <w:lang w:val="en-US" w:eastAsia="zh-CN"/>
              </w:rPr>
              <w:t>分，最高</w:t>
            </w:r>
            <w:r>
              <w:rPr>
                <w:rFonts w:hint="eastAsia" w:cs="Times New Roman" w:asciiTheme="minorEastAsia" w:hAnsiTheme="minorEastAsia" w:eastAsiaTheme="minorEastAsia"/>
                <w:color w:val="auto"/>
                <w:sz w:val="21"/>
                <w:szCs w:val="21"/>
                <w:highlight w:val="none"/>
                <w:shd w:val="clear"/>
                <w:lang w:val="en-US" w:eastAsia="zh-CN"/>
              </w:rPr>
              <w:t>6</w:t>
            </w:r>
            <w:r>
              <w:rPr>
                <w:rFonts w:hint="default" w:cs="Times New Roman" w:asciiTheme="minorEastAsia" w:hAnsiTheme="minorEastAsia" w:eastAsiaTheme="minorEastAsia"/>
                <w:color w:val="auto"/>
                <w:sz w:val="21"/>
                <w:szCs w:val="21"/>
                <w:highlight w:val="none"/>
                <w:shd w:val="clear"/>
                <w:lang w:val="en-US" w:eastAsia="zh-CN"/>
              </w:rPr>
              <w:t>分。</w:t>
            </w:r>
          </w:p>
          <w:p w14:paraId="3F37DC2E">
            <w:pPr>
              <w:keepNext w:val="0"/>
              <w:keepLines w:val="0"/>
              <w:widowControl/>
              <w:suppressLineNumbers w:val="0"/>
              <w:shd w:val="clear"/>
              <w:spacing w:before="0" w:beforeAutospacing="0" w:after="0" w:afterAutospacing="0"/>
              <w:ind w:left="0" w:leftChars="0" w:right="0" w:rightChars="0"/>
              <w:jc w:val="left"/>
              <w:rPr>
                <w:rFonts w:hint="default" w:ascii="Times New Roman" w:hAnsi="Times New Roman" w:eastAsia="宋体" w:cs="Times New Roman"/>
                <w:highlight w:val="none"/>
                <w:lang w:val="en-US" w:eastAsia="zh-CN"/>
              </w:rPr>
            </w:pPr>
            <w:r>
              <w:rPr>
                <w:rFonts w:hint="eastAsia" w:cs="Times New Roman" w:asciiTheme="minorEastAsia" w:hAnsiTheme="minorEastAsia" w:eastAsiaTheme="minorEastAsia"/>
                <w:color w:val="auto"/>
                <w:sz w:val="21"/>
                <w:szCs w:val="21"/>
                <w:highlight w:val="none"/>
                <w:shd w:val="clear"/>
                <w:lang w:val="en-US" w:eastAsia="zh-CN"/>
              </w:rPr>
              <w:t>以上</w:t>
            </w:r>
            <w:r>
              <w:rPr>
                <w:rFonts w:hint="default" w:cs="Times New Roman" w:asciiTheme="minorEastAsia" w:hAnsiTheme="minorEastAsia" w:eastAsiaTheme="minorEastAsia"/>
                <w:color w:val="auto"/>
                <w:sz w:val="21"/>
                <w:szCs w:val="21"/>
                <w:highlight w:val="none"/>
                <w:shd w:val="clear"/>
                <w:lang w:val="en-US" w:eastAsia="zh-CN"/>
              </w:rPr>
              <w:t>提供</w:t>
            </w:r>
            <w:r>
              <w:rPr>
                <w:rFonts w:hint="eastAsia" w:cs="Times New Roman" w:asciiTheme="minorEastAsia" w:hAnsiTheme="minorEastAsia" w:eastAsiaTheme="minorEastAsia"/>
                <w:color w:val="auto"/>
                <w:sz w:val="21"/>
                <w:szCs w:val="21"/>
                <w:highlight w:val="none"/>
                <w:shd w:val="clear"/>
                <w:lang w:val="en-US" w:eastAsia="zh-CN"/>
              </w:rPr>
              <w:t>产品</w:t>
            </w:r>
            <w:r>
              <w:rPr>
                <w:rFonts w:hint="default" w:cs="Times New Roman" w:asciiTheme="minorEastAsia" w:hAnsiTheme="minorEastAsia" w:eastAsiaTheme="minorEastAsia"/>
                <w:color w:val="auto"/>
                <w:sz w:val="21"/>
                <w:szCs w:val="21"/>
                <w:highlight w:val="none"/>
                <w:shd w:val="clear"/>
                <w:lang w:val="en-US" w:eastAsia="zh-CN"/>
              </w:rPr>
              <w:t>采购合同或发票复印件</w:t>
            </w:r>
            <w:r>
              <w:rPr>
                <w:rFonts w:hint="eastAsia" w:cs="Times New Roman" w:asciiTheme="minorEastAsia" w:hAnsiTheme="minorEastAsia" w:eastAsiaTheme="minorEastAsia"/>
                <w:color w:val="auto"/>
                <w:sz w:val="21"/>
                <w:szCs w:val="21"/>
                <w:highlight w:val="none"/>
                <w:shd w:val="clear"/>
                <w:lang w:val="en-US" w:eastAsia="zh-CN"/>
              </w:rPr>
              <w:t>加盖公章。</w:t>
            </w:r>
          </w:p>
        </w:tc>
        <w:tc>
          <w:tcPr>
            <w:tcW w:w="452" w:type="pct"/>
            <w:vAlign w:val="center"/>
          </w:tcPr>
          <w:p w14:paraId="354DFBE1">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6</w:t>
            </w:r>
          </w:p>
        </w:tc>
      </w:tr>
      <w:tr w14:paraId="205A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7" w:type="pct"/>
            <w:vAlign w:val="center"/>
          </w:tcPr>
          <w:p w14:paraId="59D6D823">
            <w:pPr>
              <w:pStyle w:val="9"/>
              <w:keepNext w:val="0"/>
              <w:keepLines w:val="0"/>
              <w:suppressLineNumbers w:val="0"/>
              <w:shd w:val="clear"/>
              <w:bidi w:val="0"/>
              <w:spacing w:before="0" w:beforeAutospacing="0" w:after="0" w:afterAutospacing="0"/>
              <w:ind w:left="0" w:right="0"/>
              <w:rPr>
                <w:rFonts w:hint="default" w:ascii="Times New Roman" w:hAnsi="Times New Roman" w:eastAsia="宋体" w:cs="Times New Roman"/>
                <w:highlight w:val="none"/>
                <w:lang w:eastAsia="zh-CN"/>
              </w:rPr>
            </w:pPr>
            <w:r>
              <w:rPr>
                <w:rFonts w:hint="eastAsia" w:cs="Times New Roman"/>
                <w:highlight w:val="none"/>
                <w:lang w:val="en-US" w:eastAsia="zh-CN"/>
              </w:rPr>
              <w:t>6</w:t>
            </w:r>
          </w:p>
        </w:tc>
        <w:tc>
          <w:tcPr>
            <w:tcW w:w="737" w:type="pct"/>
            <w:vAlign w:val="center"/>
          </w:tcPr>
          <w:p w14:paraId="046592E3">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同类业绩</w:t>
            </w:r>
          </w:p>
        </w:tc>
        <w:tc>
          <w:tcPr>
            <w:tcW w:w="3362" w:type="pct"/>
            <w:vAlign w:val="center"/>
          </w:tcPr>
          <w:p w14:paraId="336ABA8E">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投标人</w:t>
            </w:r>
            <w:r>
              <w:rPr>
                <w:rFonts w:hint="eastAsia" w:ascii="Times New Roman" w:hAnsi="Times New Roman" w:cs="Times New Roman" w:eastAsiaTheme="minorEastAsia"/>
                <w:sz w:val="21"/>
                <w:szCs w:val="21"/>
                <w:highlight w:val="none"/>
                <w:lang w:val="en-US" w:eastAsia="zh-CN"/>
              </w:rPr>
              <w:t>近3年来</w:t>
            </w:r>
            <w:r>
              <w:rPr>
                <w:rFonts w:hint="default" w:ascii="????" w:hAnsi="????" w:eastAsia="????" w:cs="????"/>
                <w:color w:val="333333"/>
                <w:kern w:val="0"/>
                <w:sz w:val="21"/>
                <w:szCs w:val="21"/>
                <w:lang w:val="en-US" w:eastAsia="zh-CN" w:bidi="ar"/>
              </w:rPr>
              <w:t>具有类似服务项目案例的</w:t>
            </w:r>
            <w:r>
              <w:rPr>
                <w:rFonts w:hint="default" w:ascii="Times New Roman" w:hAnsi="Times New Roman" w:cs="Times New Roman" w:eastAsiaTheme="minorEastAsia"/>
                <w:sz w:val="21"/>
                <w:szCs w:val="21"/>
                <w:highlight w:val="none"/>
              </w:rPr>
              <w:t>，每</w:t>
            </w:r>
            <w:r>
              <w:rPr>
                <w:rFonts w:hint="eastAsia" w:ascii="Times New Roman" w:hAnsi="Times New Roman" w:cs="Times New Roman" w:eastAsiaTheme="minorEastAsia"/>
                <w:sz w:val="21"/>
                <w:szCs w:val="21"/>
                <w:highlight w:val="none"/>
                <w:lang w:val="en-US" w:eastAsia="zh-CN"/>
              </w:rPr>
              <w:t>提供1</w:t>
            </w:r>
            <w:r>
              <w:rPr>
                <w:rFonts w:hint="default" w:ascii="Times New Roman" w:hAnsi="Times New Roman" w:cs="Times New Roman" w:eastAsiaTheme="minorEastAsia"/>
                <w:sz w:val="21"/>
                <w:szCs w:val="21"/>
                <w:highlight w:val="none"/>
              </w:rPr>
              <w:t>个得</w:t>
            </w:r>
            <w:r>
              <w:rPr>
                <w:rFonts w:hint="eastAsia"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分，最</w:t>
            </w:r>
            <w:r>
              <w:rPr>
                <w:rFonts w:hint="eastAsia" w:ascii="Times New Roman" w:hAnsi="Times New Roman" w:cs="Times New Roman" w:eastAsiaTheme="minorEastAsia"/>
                <w:sz w:val="21"/>
                <w:szCs w:val="21"/>
                <w:highlight w:val="none"/>
                <w:lang w:val="en-US" w:eastAsia="zh-CN"/>
              </w:rPr>
              <w:t>多不超过5</w:t>
            </w:r>
            <w:r>
              <w:rPr>
                <w:rFonts w:hint="default" w:ascii="Times New Roman" w:hAnsi="Times New Roman" w:cs="Times New Roman" w:eastAsiaTheme="minorEastAsia"/>
                <w:sz w:val="21"/>
                <w:szCs w:val="21"/>
                <w:highlight w:val="none"/>
              </w:rPr>
              <w:t>分。</w:t>
            </w:r>
          </w:p>
          <w:p w14:paraId="7CABF54D">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kern w:val="2"/>
                <w:sz w:val="21"/>
                <w:szCs w:val="21"/>
                <w:highlight w:val="none"/>
                <w:lang w:val="en-US" w:eastAsia="zh-CN" w:bidi="ar-SA"/>
              </w:rPr>
            </w:pPr>
            <w:r>
              <w:rPr>
                <w:rFonts w:hint="eastAsia" w:ascii="Times New Roman" w:hAnsi="Times New Roman" w:cs="Times New Roman" w:eastAsiaTheme="minorEastAsia"/>
                <w:sz w:val="21"/>
                <w:szCs w:val="21"/>
                <w:highlight w:val="none"/>
                <w:lang w:val="en-US" w:eastAsia="zh-CN"/>
              </w:rPr>
              <w:t>以上</w:t>
            </w:r>
            <w:r>
              <w:rPr>
                <w:rFonts w:hint="default" w:ascii="Times New Roman" w:hAnsi="Times New Roman" w:cs="Times New Roman" w:eastAsiaTheme="minorEastAsia"/>
                <w:sz w:val="21"/>
                <w:szCs w:val="21"/>
                <w:highlight w:val="none"/>
              </w:rPr>
              <w:t>提供合同复印件</w:t>
            </w:r>
            <w:r>
              <w:rPr>
                <w:rFonts w:hint="eastAsia" w:ascii="Times New Roman" w:hAnsi="Times New Roman" w:cs="Times New Roman" w:eastAsiaTheme="minorEastAsia"/>
                <w:sz w:val="21"/>
                <w:szCs w:val="21"/>
                <w:highlight w:val="none"/>
                <w:lang w:val="en-US" w:eastAsia="zh-CN"/>
              </w:rPr>
              <w:t>或中标通知书</w:t>
            </w:r>
            <w:r>
              <w:rPr>
                <w:rFonts w:hint="default" w:ascii="Times New Roman" w:hAnsi="Times New Roman" w:eastAsia="宋体" w:cs="Times New Roman"/>
                <w:highlight w:val="none"/>
                <w:lang w:val="en-US" w:eastAsia="zh-CN"/>
              </w:rPr>
              <w:t>并加盖公章</w:t>
            </w:r>
            <w:r>
              <w:rPr>
                <w:rFonts w:hint="eastAsia" w:ascii="Times New Roman" w:hAnsi="Times New Roman" w:eastAsia="宋体" w:cs="Times New Roman"/>
                <w:highlight w:val="none"/>
                <w:lang w:val="en-US" w:eastAsia="zh-CN"/>
              </w:rPr>
              <w:t>。</w:t>
            </w:r>
          </w:p>
        </w:tc>
        <w:tc>
          <w:tcPr>
            <w:tcW w:w="452" w:type="pct"/>
            <w:vAlign w:val="center"/>
          </w:tcPr>
          <w:p w14:paraId="724C9BAF">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kern w:val="2"/>
                <w:sz w:val="21"/>
                <w:szCs w:val="21"/>
                <w:highlight w:val="none"/>
                <w:lang w:val="en-US" w:eastAsia="zh-CN" w:bidi="ar-SA"/>
              </w:rPr>
              <w:t>5</w:t>
            </w:r>
          </w:p>
        </w:tc>
      </w:tr>
      <w:tr w14:paraId="38E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39491B9C">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7</w:t>
            </w:r>
          </w:p>
        </w:tc>
        <w:tc>
          <w:tcPr>
            <w:tcW w:w="737" w:type="pct"/>
            <w:vAlign w:val="center"/>
          </w:tcPr>
          <w:p w14:paraId="3449416A">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技术方案</w:t>
            </w:r>
          </w:p>
        </w:tc>
        <w:tc>
          <w:tcPr>
            <w:tcW w:w="5730" w:type="dxa"/>
            <w:vAlign w:val="center"/>
          </w:tcPr>
          <w:p w14:paraId="7F1B723F">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提供技术方案，内容包含但不限于：①项目需求理解和分析；②测评依据</w:t>
            </w:r>
            <w:r>
              <w:rPr>
                <w:rFonts w:hint="eastAsia" w:ascii="Times New Roman" w:hAnsi="Times New Roman" w:cs="Times New Roman" w:eastAsiaTheme="minorEastAsia"/>
                <w:color w:val="000000"/>
                <w:kern w:val="2"/>
                <w:sz w:val="21"/>
                <w:szCs w:val="21"/>
                <w:highlight w:val="none"/>
                <w:lang w:val="en-US" w:eastAsia="zh-CN" w:bidi="ar-SA"/>
              </w:rPr>
              <w:t>、</w:t>
            </w:r>
            <w:r>
              <w:rPr>
                <w:rFonts w:hint="default" w:ascii="Times New Roman" w:hAnsi="Times New Roman" w:cs="Times New Roman" w:eastAsiaTheme="minorEastAsia"/>
                <w:color w:val="000000"/>
                <w:kern w:val="2"/>
                <w:sz w:val="21"/>
                <w:szCs w:val="21"/>
                <w:highlight w:val="none"/>
                <w:lang w:val="en-US" w:eastAsia="zh-CN" w:bidi="ar-SA"/>
              </w:rPr>
              <w:t>测评工具；</w:t>
            </w:r>
            <w:r>
              <w:rPr>
                <w:rFonts w:hint="eastAsia" w:ascii="Times New Roman" w:hAnsi="Times New Roman" w:cs="Times New Roman" w:eastAsiaTheme="minorEastAsia"/>
                <w:color w:val="000000"/>
                <w:kern w:val="2"/>
                <w:sz w:val="21"/>
                <w:szCs w:val="21"/>
                <w:highlight w:val="none"/>
                <w:lang w:val="en-US" w:eastAsia="zh-CN" w:bidi="ar-SA"/>
              </w:rPr>
              <w:t>③</w:t>
            </w:r>
            <w:r>
              <w:rPr>
                <w:rFonts w:hint="default" w:ascii="Times New Roman" w:hAnsi="Times New Roman" w:cs="Times New Roman" w:eastAsiaTheme="minorEastAsia"/>
                <w:color w:val="000000"/>
                <w:kern w:val="2"/>
                <w:sz w:val="21"/>
                <w:szCs w:val="21"/>
                <w:highlight w:val="none"/>
                <w:lang w:val="en-US" w:eastAsia="zh-CN" w:bidi="ar-SA"/>
              </w:rPr>
              <w:t>各评估对象对应的评估方法；</w:t>
            </w:r>
            <w:r>
              <w:rPr>
                <w:rFonts w:hint="eastAsia" w:ascii="Times New Roman" w:hAnsi="Times New Roman" w:cs="Times New Roman" w:eastAsiaTheme="minorEastAsia"/>
                <w:color w:val="000000"/>
                <w:kern w:val="2"/>
                <w:sz w:val="21"/>
                <w:szCs w:val="21"/>
                <w:highlight w:val="none"/>
                <w:lang w:val="en-US" w:eastAsia="zh-CN" w:bidi="ar-SA"/>
              </w:rPr>
              <w:t>④</w:t>
            </w:r>
            <w:r>
              <w:rPr>
                <w:rFonts w:hint="default" w:ascii="Times New Roman" w:hAnsi="Times New Roman" w:cs="Times New Roman" w:eastAsiaTheme="minorEastAsia"/>
                <w:color w:val="000000"/>
                <w:kern w:val="2"/>
                <w:sz w:val="21"/>
                <w:szCs w:val="21"/>
                <w:highlight w:val="none"/>
                <w:lang w:val="en-US" w:eastAsia="zh-CN" w:bidi="ar-SA"/>
              </w:rPr>
              <w:t>密码应用安全性评估各项技术要求等，根据方案的完整性及符合实际情况进行综合评分。</w:t>
            </w:r>
          </w:p>
          <w:p w14:paraId="6012C8B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1、根据方案的完整性进行评分，每具备上述列明的一项要素得2分，最多得</w:t>
            </w:r>
            <w:r>
              <w:rPr>
                <w:rFonts w:hint="eastAsia" w:ascii="Times New Roman" w:hAnsi="Times New Roman" w:cs="Times New Roman" w:eastAsiaTheme="minorEastAsia"/>
                <w:color w:val="000000"/>
                <w:kern w:val="2"/>
                <w:sz w:val="21"/>
                <w:szCs w:val="21"/>
                <w:highlight w:val="none"/>
                <w:lang w:val="en-US" w:eastAsia="zh-CN" w:bidi="ar-SA"/>
              </w:rPr>
              <w:t>8</w:t>
            </w:r>
            <w:r>
              <w:rPr>
                <w:rFonts w:hint="default" w:ascii="Times New Roman" w:hAnsi="Times New Roman" w:cs="Times New Roman" w:eastAsiaTheme="minorEastAsia"/>
                <w:color w:val="000000"/>
                <w:kern w:val="2"/>
                <w:sz w:val="21"/>
                <w:szCs w:val="21"/>
                <w:highlight w:val="none"/>
                <w:lang w:val="en-US" w:eastAsia="zh-CN" w:bidi="ar-SA"/>
              </w:rPr>
              <w:t xml:space="preserve">分。 </w:t>
            </w:r>
          </w:p>
          <w:p w14:paraId="44D0A3E6">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2、根据供应商提供的方案进行综合赋分：A.方案中的各项要素详细全面、完整、针对性强的得</w:t>
            </w:r>
            <w:r>
              <w:rPr>
                <w:rFonts w:hint="eastAsia" w:ascii="Times New Roman" w:hAnsi="Times New Roman" w:cs="Times New Roman" w:eastAsiaTheme="minorEastAsia"/>
                <w:color w:val="000000"/>
                <w:kern w:val="2"/>
                <w:sz w:val="21"/>
                <w:szCs w:val="21"/>
                <w:highlight w:val="none"/>
                <w:lang w:val="en-US" w:eastAsia="zh-CN" w:bidi="ar-SA"/>
              </w:rPr>
              <w:t>7</w:t>
            </w:r>
            <w:r>
              <w:rPr>
                <w:rFonts w:hint="default" w:ascii="Times New Roman" w:hAnsi="Times New Roman" w:cs="Times New Roman" w:eastAsiaTheme="minorEastAsia"/>
                <w:color w:val="000000"/>
                <w:kern w:val="2"/>
                <w:sz w:val="21"/>
                <w:szCs w:val="21"/>
                <w:highlight w:val="none"/>
                <w:lang w:val="en-US" w:eastAsia="zh-CN" w:bidi="ar-SA"/>
              </w:rPr>
              <w:t>分；B.方案中的各项要素安排较为合理、具有一定针对性的得</w:t>
            </w:r>
            <w:r>
              <w:rPr>
                <w:rFonts w:hint="eastAsia" w:ascii="Times New Roman" w:hAnsi="Times New Roman" w:cs="Times New Roman" w:eastAsiaTheme="minorEastAsia"/>
                <w:color w:val="000000"/>
                <w:kern w:val="2"/>
                <w:sz w:val="21"/>
                <w:szCs w:val="21"/>
                <w:highlight w:val="none"/>
                <w:lang w:val="en-US" w:eastAsia="zh-CN" w:bidi="ar-SA"/>
              </w:rPr>
              <w:t>4</w:t>
            </w:r>
            <w:r>
              <w:rPr>
                <w:rFonts w:hint="default" w:ascii="Times New Roman" w:hAnsi="Times New Roman" w:cs="Times New Roman" w:eastAsiaTheme="minorEastAsia"/>
                <w:color w:val="000000"/>
                <w:kern w:val="2"/>
                <w:sz w:val="21"/>
                <w:szCs w:val="21"/>
                <w:highlight w:val="none"/>
                <w:lang w:val="en-US" w:eastAsia="zh-CN" w:bidi="ar-SA"/>
              </w:rPr>
              <w:t>分；C.方案中的各项要素不完整，出现文字描述含糊不清、内容空洞、分析内容不全面等情况的得</w:t>
            </w:r>
            <w:r>
              <w:rPr>
                <w:rFonts w:hint="eastAsia" w:ascii="Times New Roman" w:hAnsi="Times New Roman" w:cs="Times New Roman" w:eastAsiaTheme="minorEastAsia"/>
                <w:color w:val="000000"/>
                <w:kern w:val="2"/>
                <w:sz w:val="21"/>
                <w:szCs w:val="21"/>
                <w:highlight w:val="none"/>
                <w:lang w:val="en-US" w:eastAsia="zh-CN" w:bidi="ar-SA"/>
              </w:rPr>
              <w:t>1</w:t>
            </w:r>
            <w:r>
              <w:rPr>
                <w:rFonts w:hint="default" w:ascii="Times New Roman" w:hAnsi="Times New Roman" w:cs="Times New Roman" w:eastAsiaTheme="minorEastAsia"/>
                <w:color w:val="000000"/>
                <w:kern w:val="2"/>
                <w:sz w:val="21"/>
                <w:szCs w:val="21"/>
                <w:highlight w:val="none"/>
                <w:lang w:val="en-US" w:eastAsia="zh-CN" w:bidi="ar-SA"/>
              </w:rPr>
              <w:t>分；</w:t>
            </w:r>
          </w:p>
          <w:p w14:paraId="489DF59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3、不提供方案得0分。</w:t>
            </w:r>
          </w:p>
        </w:tc>
        <w:tc>
          <w:tcPr>
            <w:tcW w:w="452" w:type="pct"/>
            <w:vAlign w:val="center"/>
          </w:tcPr>
          <w:p w14:paraId="5F761266">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1</w:t>
            </w:r>
            <w:r>
              <w:rPr>
                <w:rFonts w:hint="eastAsia" w:ascii="Times New Roman" w:hAnsi="Times New Roman" w:cs="Times New Roman" w:eastAsiaTheme="minorEastAsia"/>
                <w:color w:val="000000"/>
                <w:sz w:val="21"/>
                <w:szCs w:val="21"/>
                <w:highlight w:val="none"/>
                <w:lang w:val="en-US" w:eastAsia="zh-CN"/>
              </w:rPr>
              <w:t>5</w:t>
            </w:r>
          </w:p>
        </w:tc>
      </w:tr>
      <w:tr w14:paraId="6934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17C0B5EC">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8</w:t>
            </w:r>
          </w:p>
        </w:tc>
        <w:tc>
          <w:tcPr>
            <w:tcW w:w="737" w:type="pct"/>
            <w:vAlign w:val="center"/>
          </w:tcPr>
          <w:p w14:paraId="780BE36F">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实施方案</w:t>
            </w:r>
          </w:p>
        </w:tc>
        <w:tc>
          <w:tcPr>
            <w:tcW w:w="5730" w:type="dxa"/>
            <w:vAlign w:val="center"/>
          </w:tcPr>
          <w:p w14:paraId="6E9CE969">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提供实施方案，内容包含但不限于：①实施计划；②人员和任务分工；③实施进度安排；④质量保证措施</w:t>
            </w:r>
            <w:r>
              <w:rPr>
                <w:rFonts w:hint="eastAsia" w:ascii="Times New Roman" w:hAnsi="Times New Roman" w:cs="Times New Roman" w:eastAsiaTheme="minorEastAsia"/>
                <w:color w:val="000000"/>
                <w:kern w:val="2"/>
                <w:sz w:val="21"/>
                <w:szCs w:val="21"/>
                <w:highlight w:val="none"/>
                <w:lang w:val="en-US" w:eastAsia="zh-CN" w:bidi="ar-SA"/>
              </w:rPr>
              <w:t>、</w:t>
            </w:r>
            <w:r>
              <w:rPr>
                <w:rFonts w:hint="default" w:ascii="Times New Roman" w:hAnsi="Times New Roman" w:cs="Times New Roman" w:eastAsiaTheme="minorEastAsia"/>
                <w:color w:val="000000"/>
                <w:kern w:val="2"/>
                <w:sz w:val="21"/>
                <w:szCs w:val="21"/>
                <w:highlight w:val="none"/>
                <w:lang w:val="en-US" w:eastAsia="zh-CN" w:bidi="ar-SA"/>
              </w:rPr>
              <w:t>安全保密措施等，根据方案的完整性及符合实际情况进行综合评分。</w:t>
            </w:r>
          </w:p>
          <w:p w14:paraId="5FC5FBA4">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1、根据方案的完整性进行评分，每具备上述列明的一项要素得</w:t>
            </w:r>
            <w:r>
              <w:rPr>
                <w:rFonts w:hint="eastAsia" w:ascii="Times New Roman" w:hAnsi="Times New Roman" w:cs="Times New Roman" w:eastAsiaTheme="minorEastAsia"/>
                <w:color w:val="000000"/>
                <w:kern w:val="2"/>
                <w:sz w:val="21"/>
                <w:szCs w:val="21"/>
                <w:highlight w:val="none"/>
                <w:lang w:val="en-US" w:eastAsia="zh-CN" w:bidi="ar-SA"/>
              </w:rPr>
              <w:t>2</w:t>
            </w:r>
            <w:r>
              <w:rPr>
                <w:rFonts w:hint="default" w:ascii="Times New Roman" w:hAnsi="Times New Roman" w:cs="Times New Roman" w:eastAsiaTheme="minorEastAsia"/>
                <w:color w:val="000000"/>
                <w:kern w:val="2"/>
                <w:sz w:val="21"/>
                <w:szCs w:val="21"/>
                <w:highlight w:val="none"/>
                <w:lang w:val="en-US" w:eastAsia="zh-CN" w:bidi="ar-SA"/>
              </w:rPr>
              <w:t>分，最多得</w:t>
            </w:r>
            <w:r>
              <w:rPr>
                <w:rFonts w:hint="eastAsia" w:ascii="Times New Roman" w:hAnsi="Times New Roman" w:cs="Times New Roman" w:eastAsiaTheme="minorEastAsia"/>
                <w:color w:val="000000"/>
                <w:kern w:val="2"/>
                <w:sz w:val="21"/>
                <w:szCs w:val="21"/>
                <w:highlight w:val="none"/>
                <w:lang w:val="en-US" w:eastAsia="zh-CN" w:bidi="ar-SA"/>
              </w:rPr>
              <w:t>8</w:t>
            </w:r>
            <w:r>
              <w:rPr>
                <w:rFonts w:hint="default" w:ascii="Times New Roman" w:hAnsi="Times New Roman" w:cs="Times New Roman" w:eastAsiaTheme="minorEastAsia"/>
                <w:color w:val="000000"/>
                <w:kern w:val="2"/>
                <w:sz w:val="21"/>
                <w:szCs w:val="21"/>
                <w:highlight w:val="none"/>
                <w:lang w:val="en-US" w:eastAsia="zh-CN" w:bidi="ar-SA"/>
              </w:rPr>
              <w:t xml:space="preserve">分。 </w:t>
            </w:r>
          </w:p>
          <w:p w14:paraId="1EBE94DE">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2、根据供应商提供的方案进行综合赋分：A.方案中的各项要素详细全面、完整、针对性强的得</w:t>
            </w:r>
            <w:r>
              <w:rPr>
                <w:rFonts w:hint="eastAsia" w:ascii="Times New Roman" w:hAnsi="Times New Roman" w:cs="Times New Roman" w:eastAsiaTheme="minorEastAsia"/>
                <w:color w:val="000000"/>
                <w:kern w:val="2"/>
                <w:sz w:val="21"/>
                <w:szCs w:val="21"/>
                <w:highlight w:val="none"/>
                <w:lang w:val="en-US" w:eastAsia="zh-CN" w:bidi="ar-SA"/>
              </w:rPr>
              <w:t>7</w:t>
            </w:r>
            <w:r>
              <w:rPr>
                <w:rFonts w:hint="default" w:ascii="Times New Roman" w:hAnsi="Times New Roman" w:cs="Times New Roman" w:eastAsiaTheme="minorEastAsia"/>
                <w:color w:val="000000"/>
                <w:kern w:val="2"/>
                <w:sz w:val="21"/>
                <w:szCs w:val="21"/>
                <w:highlight w:val="none"/>
                <w:lang w:val="en-US" w:eastAsia="zh-CN" w:bidi="ar-SA"/>
              </w:rPr>
              <w:t>分；B.方案中的各项要素安排较为合理、具有一定针对性的得</w:t>
            </w:r>
            <w:r>
              <w:rPr>
                <w:rFonts w:hint="eastAsia" w:ascii="Times New Roman" w:hAnsi="Times New Roman" w:cs="Times New Roman" w:eastAsiaTheme="minorEastAsia"/>
                <w:color w:val="000000"/>
                <w:kern w:val="2"/>
                <w:sz w:val="21"/>
                <w:szCs w:val="21"/>
                <w:highlight w:val="none"/>
                <w:lang w:val="en-US" w:eastAsia="zh-CN" w:bidi="ar-SA"/>
              </w:rPr>
              <w:t>4</w:t>
            </w:r>
            <w:r>
              <w:rPr>
                <w:rFonts w:hint="default" w:ascii="Times New Roman" w:hAnsi="Times New Roman" w:cs="Times New Roman" w:eastAsiaTheme="minorEastAsia"/>
                <w:color w:val="000000"/>
                <w:kern w:val="2"/>
                <w:sz w:val="21"/>
                <w:szCs w:val="21"/>
                <w:highlight w:val="none"/>
                <w:lang w:val="en-US" w:eastAsia="zh-CN" w:bidi="ar-SA"/>
              </w:rPr>
              <w:t>分；C.方案中的各项要素不完整，出现文字描述含糊不清、内容空洞、分析内容不全面等情况的得2分；</w:t>
            </w:r>
          </w:p>
          <w:p w14:paraId="6E76E5C9">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3、不提供方案得0分。</w:t>
            </w:r>
          </w:p>
        </w:tc>
        <w:tc>
          <w:tcPr>
            <w:tcW w:w="452" w:type="pct"/>
            <w:vAlign w:val="center"/>
          </w:tcPr>
          <w:p w14:paraId="190D4AA0">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sz w:val="21"/>
                <w:szCs w:val="21"/>
                <w:highlight w:val="none"/>
                <w:lang w:val="en-US" w:eastAsia="zh-CN"/>
              </w:rPr>
              <w:t>1</w:t>
            </w:r>
            <w:r>
              <w:rPr>
                <w:rFonts w:hint="eastAsia" w:ascii="Times New Roman" w:hAnsi="Times New Roman" w:cs="Times New Roman" w:eastAsiaTheme="minorEastAsia"/>
                <w:color w:val="000000"/>
                <w:sz w:val="21"/>
                <w:szCs w:val="21"/>
                <w:highlight w:val="none"/>
                <w:lang w:val="en-US" w:eastAsia="zh-CN"/>
              </w:rPr>
              <w:t>5</w:t>
            </w:r>
          </w:p>
        </w:tc>
      </w:tr>
      <w:tr w14:paraId="2D4E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3F86DB1E">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9</w:t>
            </w:r>
          </w:p>
        </w:tc>
        <w:tc>
          <w:tcPr>
            <w:tcW w:w="737" w:type="pct"/>
            <w:vAlign w:val="center"/>
          </w:tcPr>
          <w:p w14:paraId="36714F7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default" w:ascii="Times New Roman" w:hAnsi="Times New Roman" w:cs="Times New Roman" w:eastAsiaTheme="minorEastAsia"/>
                <w:color w:val="000000"/>
                <w:kern w:val="2"/>
                <w:sz w:val="21"/>
                <w:szCs w:val="21"/>
                <w:highlight w:val="none"/>
                <w:lang w:val="en-US" w:eastAsia="zh-CN" w:bidi="ar-SA"/>
              </w:rPr>
              <w:t>售后服务方案</w:t>
            </w:r>
          </w:p>
        </w:tc>
        <w:tc>
          <w:tcPr>
            <w:tcW w:w="5730" w:type="dxa"/>
            <w:vAlign w:val="center"/>
          </w:tcPr>
          <w:p w14:paraId="0365FB67">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提供售后服务方案，内容包含但不限于：①服务响应时间；②服务方式</w:t>
            </w:r>
            <w:r>
              <w:rPr>
                <w:rFonts w:hint="eastAsia" w:ascii="Times New Roman" w:hAnsi="Times New Roman" w:cs="Times New Roman" w:eastAsiaTheme="minorEastAsia"/>
                <w:sz w:val="21"/>
                <w:szCs w:val="21"/>
                <w:highlight w:val="none"/>
                <w:lang w:eastAsia="zh-CN"/>
              </w:rPr>
              <w:t>；</w:t>
            </w:r>
            <w:r>
              <w:rPr>
                <w:rFonts w:hint="eastAsia" w:ascii="Times New Roman" w:hAnsi="Times New Roman" w:cs="Times New Roman" w:eastAsiaTheme="minorEastAsia"/>
                <w:sz w:val="21"/>
                <w:szCs w:val="21"/>
                <w:highlight w:val="none"/>
                <w:lang w:val="en-US" w:eastAsia="zh-CN"/>
              </w:rPr>
              <w:t>③</w:t>
            </w:r>
            <w:r>
              <w:rPr>
                <w:rFonts w:hint="default" w:ascii="Times New Roman" w:hAnsi="Times New Roman" w:cs="Times New Roman" w:eastAsiaTheme="minorEastAsia"/>
                <w:sz w:val="21"/>
                <w:szCs w:val="21"/>
                <w:highlight w:val="none"/>
              </w:rPr>
              <w:t>服务内容</w:t>
            </w:r>
            <w:r>
              <w:rPr>
                <w:rFonts w:hint="eastAsia" w:ascii="Times New Roman" w:hAnsi="Times New Roman" w:cs="Times New Roman" w:eastAsiaTheme="minorEastAsia"/>
                <w:sz w:val="21"/>
                <w:szCs w:val="21"/>
                <w:highlight w:val="none"/>
                <w:lang w:eastAsia="zh-CN"/>
              </w:rPr>
              <w:t>；</w:t>
            </w:r>
            <w:r>
              <w:rPr>
                <w:rFonts w:hint="eastAsia" w:ascii="Times New Roman" w:hAnsi="Times New Roman" w:cs="Times New Roman" w:eastAsiaTheme="minorEastAsia"/>
                <w:sz w:val="21"/>
                <w:szCs w:val="21"/>
                <w:highlight w:val="none"/>
                <w:lang w:val="en-US" w:eastAsia="zh-CN"/>
              </w:rPr>
              <w:t>④服务人员支持</w:t>
            </w:r>
            <w:r>
              <w:rPr>
                <w:rFonts w:hint="default" w:ascii="Times New Roman" w:hAnsi="Times New Roman" w:cs="Times New Roman" w:eastAsiaTheme="minorEastAsia"/>
                <w:sz w:val="21"/>
                <w:szCs w:val="21"/>
                <w:highlight w:val="none"/>
              </w:rPr>
              <w:t>等，根据方案的完整性及符合实际情况进行综合评分。</w:t>
            </w:r>
          </w:p>
          <w:p w14:paraId="2D8BA7F3">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1、根据方案的完整性进行评分，每具备上述列明的一项要素得</w:t>
            </w:r>
            <w:r>
              <w:rPr>
                <w:rFonts w:hint="eastAsia"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分，最多得</w:t>
            </w:r>
            <w:r>
              <w:rPr>
                <w:rFonts w:hint="eastAsia" w:ascii="Times New Roman" w:hAnsi="Times New Roman" w:cs="Times New Roman" w:eastAsiaTheme="minorEastAsia"/>
                <w:sz w:val="21"/>
                <w:szCs w:val="21"/>
                <w:highlight w:val="none"/>
                <w:lang w:val="en-US" w:eastAsia="zh-CN"/>
              </w:rPr>
              <w:t>4</w:t>
            </w:r>
            <w:r>
              <w:rPr>
                <w:rFonts w:hint="default" w:ascii="Times New Roman" w:hAnsi="Times New Roman" w:cs="Times New Roman" w:eastAsiaTheme="minorEastAsia"/>
                <w:sz w:val="21"/>
                <w:szCs w:val="21"/>
                <w:highlight w:val="none"/>
              </w:rPr>
              <w:t xml:space="preserve">分。 </w:t>
            </w:r>
          </w:p>
          <w:p w14:paraId="51559E84">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2、根据供应商提供的方案进行综合赋分：A.方案中的各项要素详细全面、完整、针对性强的得</w:t>
            </w:r>
            <w:r>
              <w:rPr>
                <w:rFonts w:hint="eastAsia" w:ascii="Times New Roman" w:hAnsi="Times New Roman" w:cs="Times New Roman" w:eastAsiaTheme="minorEastAsia"/>
                <w:sz w:val="21"/>
                <w:szCs w:val="21"/>
                <w:highlight w:val="none"/>
                <w:lang w:val="en-US" w:eastAsia="zh-CN"/>
              </w:rPr>
              <w:t>4</w:t>
            </w:r>
            <w:r>
              <w:rPr>
                <w:rFonts w:hint="default" w:ascii="Times New Roman" w:hAnsi="Times New Roman" w:cs="Times New Roman" w:eastAsiaTheme="minorEastAsia"/>
                <w:sz w:val="21"/>
                <w:szCs w:val="21"/>
                <w:highlight w:val="none"/>
              </w:rPr>
              <w:t>分；B.方案中的各项要素安排较为合理、具有一定针对性的得</w:t>
            </w:r>
            <w:r>
              <w:rPr>
                <w:rFonts w:hint="eastAsia" w:ascii="Times New Roman" w:hAnsi="Times New Roman" w:cs="Times New Roman" w:eastAsiaTheme="minorEastAsia"/>
                <w:sz w:val="21"/>
                <w:szCs w:val="21"/>
                <w:highlight w:val="none"/>
                <w:lang w:val="en-US" w:eastAsia="zh-CN"/>
              </w:rPr>
              <w:t>2</w:t>
            </w:r>
            <w:r>
              <w:rPr>
                <w:rFonts w:hint="default" w:ascii="Times New Roman" w:hAnsi="Times New Roman" w:cs="Times New Roman" w:eastAsiaTheme="minorEastAsia"/>
                <w:sz w:val="21"/>
                <w:szCs w:val="21"/>
                <w:highlight w:val="none"/>
              </w:rPr>
              <w:t>分；C.方案中的各项要素不完整，出现文字描述含糊不清、内容空洞、分析内容不全面等情况的得1分；</w:t>
            </w:r>
          </w:p>
          <w:p w14:paraId="2CD43447">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3、不提供方案得0分。</w:t>
            </w:r>
          </w:p>
        </w:tc>
        <w:tc>
          <w:tcPr>
            <w:tcW w:w="452" w:type="pct"/>
            <w:vAlign w:val="center"/>
          </w:tcPr>
          <w:p w14:paraId="5E7A2BD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lang w:val="en-US" w:eastAsia="zh-CN"/>
              </w:rPr>
              <w:t>8</w:t>
            </w:r>
          </w:p>
        </w:tc>
      </w:tr>
      <w:tr w14:paraId="7749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1BCF707F">
            <w:pPr>
              <w:pStyle w:val="9"/>
              <w:keepNext w:val="0"/>
              <w:keepLines w:val="0"/>
              <w:suppressLineNumbers w:val="0"/>
              <w:shd w:val="clear"/>
              <w:bidi w:val="0"/>
              <w:spacing w:before="0" w:beforeAutospacing="0" w:after="0" w:afterAutospacing="0"/>
              <w:ind w:left="0" w:right="0"/>
              <w:rPr>
                <w:rFonts w:hint="default" w:cs="Times New Roman"/>
                <w:highlight w:val="none"/>
                <w:lang w:val="en-US" w:eastAsia="zh-CN"/>
              </w:rPr>
            </w:pPr>
            <w:r>
              <w:rPr>
                <w:rFonts w:hint="eastAsia" w:cs="Times New Roman"/>
                <w:highlight w:val="none"/>
                <w:lang w:val="en-US" w:eastAsia="zh-CN"/>
              </w:rPr>
              <w:t>10</w:t>
            </w:r>
          </w:p>
        </w:tc>
        <w:tc>
          <w:tcPr>
            <w:tcW w:w="737" w:type="pct"/>
            <w:vAlign w:val="center"/>
          </w:tcPr>
          <w:p w14:paraId="29F44A51">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eastAsiaTheme="minorEastAsia"/>
                <w:color w:val="000000"/>
                <w:kern w:val="2"/>
                <w:sz w:val="21"/>
                <w:szCs w:val="21"/>
                <w:highlight w:val="none"/>
                <w:lang w:val="en-US" w:eastAsia="zh-CN" w:bidi="ar-SA"/>
              </w:rPr>
            </w:pPr>
            <w:r>
              <w:rPr>
                <w:rFonts w:hint="eastAsia" w:ascii="Times New Roman" w:hAnsi="Times New Roman" w:cs="Times New Roman" w:eastAsiaTheme="minorEastAsia"/>
                <w:color w:val="000000"/>
                <w:kern w:val="2"/>
                <w:sz w:val="21"/>
                <w:szCs w:val="21"/>
                <w:highlight w:val="none"/>
                <w:lang w:val="en-US" w:eastAsia="zh-CN" w:bidi="ar-SA"/>
              </w:rPr>
              <w:t>应急方案</w:t>
            </w:r>
          </w:p>
        </w:tc>
        <w:tc>
          <w:tcPr>
            <w:tcW w:w="5730" w:type="dxa"/>
            <w:vAlign w:val="center"/>
          </w:tcPr>
          <w:p w14:paraId="20C2F251">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lang w:val="en-US"/>
              </w:rPr>
            </w:pPr>
            <w:r>
              <w:rPr>
                <w:rFonts w:hint="default" w:ascii="Times New Roman" w:hAnsi="Times New Roman" w:eastAsia="宋体" w:cs="Times New Roman"/>
                <w:lang w:val="en-US"/>
              </w:rPr>
              <w:t>提供应急方案，内容包含但不限于：①可能出现的突发状况；②对应的应急解决办法；③应急事件的处理程序；④应急处理小组设置等，根据方案的完整性及符合实际情况进行综合评分。</w:t>
            </w:r>
          </w:p>
          <w:p w14:paraId="0389CEA7">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lang w:val="en-US"/>
              </w:rPr>
            </w:pPr>
            <w:r>
              <w:rPr>
                <w:rFonts w:hint="default" w:ascii="Times New Roman" w:hAnsi="Times New Roman" w:eastAsia="宋体" w:cs="Times New Roman"/>
                <w:lang w:val="en-US"/>
              </w:rPr>
              <w:t xml:space="preserve">1、根据方案的完整性进行评分，每具备上述列明的一项要素得1分，最多得4分。 </w:t>
            </w:r>
          </w:p>
          <w:p w14:paraId="5D2036EB">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lang w:val="en-US"/>
              </w:rPr>
            </w:pPr>
            <w:r>
              <w:rPr>
                <w:rFonts w:hint="default" w:ascii="Times New Roman" w:hAnsi="Times New Roman" w:eastAsia="宋体" w:cs="Times New Roman"/>
                <w:lang w:val="en-US"/>
              </w:rPr>
              <w:t>2、根据供应商提供的方案进行综合赋分：A.方案中的各项要素详细全面、完整、针对性强的得</w:t>
            </w:r>
            <w:r>
              <w:rPr>
                <w:rFonts w:hint="eastAsia" w:ascii="Times New Roman" w:hAnsi="Times New Roman" w:eastAsia="宋体" w:cs="Times New Roman"/>
                <w:lang w:val="en-US" w:eastAsia="zh-CN"/>
              </w:rPr>
              <w:t>4</w:t>
            </w:r>
            <w:r>
              <w:rPr>
                <w:rFonts w:hint="default" w:ascii="Times New Roman" w:hAnsi="Times New Roman" w:eastAsia="宋体" w:cs="Times New Roman"/>
                <w:lang w:val="en-US"/>
              </w:rPr>
              <w:t>分；B.方案中的各项要素安排较为合理、具有一定针对性的得</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rPr>
              <w:t>分；C.方案中的各项要素不完整，出现文字描述含糊不清、内容空洞、分析内容不全面等情况的得1分；</w:t>
            </w:r>
          </w:p>
          <w:p w14:paraId="4BE5E388">
            <w:pPr>
              <w:keepNext w:val="0"/>
              <w:keepLines w:val="0"/>
              <w:pageBreakBefore w:val="0"/>
              <w:numPr>
                <w:ilvl w:val="0"/>
                <w:numId w:val="0"/>
              </w:numPr>
              <w:suppressLineNumbers w:val="0"/>
              <w:shd w:val="clea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lang w:val="en-US"/>
              </w:rPr>
            </w:pPr>
            <w:r>
              <w:rPr>
                <w:rFonts w:hint="default" w:ascii="Times New Roman" w:hAnsi="Times New Roman" w:eastAsia="宋体" w:cs="Times New Roman"/>
                <w:lang w:val="en-US"/>
              </w:rPr>
              <w:t>3、不提供方案得0分。</w:t>
            </w:r>
          </w:p>
        </w:tc>
        <w:tc>
          <w:tcPr>
            <w:tcW w:w="452" w:type="pct"/>
            <w:vAlign w:val="center"/>
          </w:tcPr>
          <w:p w14:paraId="5C35CB4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color w:val="000000"/>
                <w:sz w:val="21"/>
                <w:szCs w:val="21"/>
                <w:highlight w:val="none"/>
                <w:lang w:val="en-US" w:eastAsia="zh-CN"/>
              </w:rPr>
            </w:pPr>
            <w:r>
              <w:rPr>
                <w:rFonts w:hint="eastAsia" w:ascii="Times New Roman" w:hAnsi="Times New Roman" w:cs="Times New Roman" w:eastAsiaTheme="minorEastAsia"/>
                <w:color w:val="000000"/>
                <w:sz w:val="21"/>
                <w:szCs w:val="21"/>
                <w:highlight w:val="none"/>
                <w:lang w:val="en-US" w:eastAsia="zh-CN"/>
              </w:rPr>
              <w:t>8</w:t>
            </w:r>
          </w:p>
        </w:tc>
      </w:tr>
      <w:tr w14:paraId="665B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7" w:type="pct"/>
            <w:vAlign w:val="center"/>
          </w:tcPr>
          <w:p w14:paraId="72D53D20">
            <w:pPr>
              <w:pStyle w:val="9"/>
              <w:keepNext w:val="0"/>
              <w:keepLines w:val="0"/>
              <w:suppressLineNumbers w:val="0"/>
              <w:shd w:val="clear"/>
              <w:bidi w:val="0"/>
              <w:spacing w:before="0" w:beforeAutospacing="0" w:after="0" w:afterAutospacing="0"/>
              <w:ind w:left="0" w:right="0"/>
              <w:rPr>
                <w:rFonts w:hint="default" w:ascii="Times New Roman" w:hAnsi="Times New Roman" w:cs="Times New Roman"/>
                <w:highlight w:val="none"/>
                <w:lang w:val="en-US" w:eastAsia="zh-CN"/>
              </w:rPr>
            </w:pPr>
            <w:r>
              <w:rPr>
                <w:rFonts w:hint="eastAsia" w:cs="Times New Roman"/>
                <w:highlight w:val="none"/>
                <w:lang w:val="en-US" w:eastAsia="zh-CN"/>
              </w:rPr>
              <w:t>11</w:t>
            </w:r>
          </w:p>
        </w:tc>
        <w:tc>
          <w:tcPr>
            <w:tcW w:w="737" w:type="pct"/>
            <w:vAlign w:val="center"/>
          </w:tcPr>
          <w:p w14:paraId="1D4F17F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投标报价得分</w:t>
            </w:r>
          </w:p>
        </w:tc>
        <w:tc>
          <w:tcPr>
            <w:tcW w:w="3362" w:type="pct"/>
            <w:vAlign w:val="center"/>
          </w:tcPr>
          <w:p w14:paraId="52184102">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评标基准价：系指满足招标文件要求且投标价格最低的投标报价。</w:t>
            </w:r>
          </w:p>
          <w:p w14:paraId="257626B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投标报价得分＝（评标基准价／投标报价）×10，得分保留至小数点后两位。</w:t>
            </w:r>
          </w:p>
        </w:tc>
        <w:tc>
          <w:tcPr>
            <w:tcW w:w="452" w:type="pct"/>
            <w:vAlign w:val="center"/>
          </w:tcPr>
          <w:p w14:paraId="43EA0A61">
            <w:pPr>
              <w:keepNext w:val="0"/>
              <w:keepLines w:val="0"/>
              <w:widowControl/>
              <w:suppressLineNumbers w:val="0"/>
              <w:shd w:val="clear"/>
              <w:spacing w:before="0" w:beforeAutospacing="0" w:after="0" w:afterAutospacing="0"/>
              <w:ind w:left="0" w:right="0"/>
              <w:jc w:val="center"/>
              <w:textAlignment w:val="center"/>
              <w:rPr>
                <w:rFonts w:hint="default" w:ascii="Times New Roman" w:hAnsi="Times New Roman" w:cs="Times New Roman" w:eastAsiaTheme="minorEastAsia"/>
                <w:color w:val="000000"/>
                <w:sz w:val="21"/>
                <w:szCs w:val="21"/>
                <w:highlight w:val="none"/>
                <w:lang w:val="en-US" w:eastAsia="zh-CN"/>
              </w:rPr>
            </w:pPr>
            <w:r>
              <w:rPr>
                <w:rFonts w:hint="default" w:ascii="Times New Roman" w:hAnsi="Times New Roman" w:eastAsia="仿宋_GB2312" w:cs="Times New Roman"/>
                <w:kern w:val="0"/>
                <w:szCs w:val="21"/>
                <w:highlight w:val="none"/>
                <w:lang w:bidi="ar"/>
              </w:rPr>
              <w:t>10</w:t>
            </w:r>
          </w:p>
        </w:tc>
      </w:tr>
    </w:tbl>
    <w:p w14:paraId="53A360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left"/>
        <w:textAlignment w:val="auto"/>
        <w:rPr>
          <w:rFonts w:hint="eastAsia" w:ascii="黑体" w:hAnsi="黑体" w:eastAsia="黑体" w:cs="黑体"/>
          <w:b w:val="0"/>
          <w:bCs w:val="0"/>
          <w:sz w:val="28"/>
          <w:szCs w:val="28"/>
          <w:lang w:val="en-US" w:eastAsia="zh-CN"/>
        </w:rPr>
      </w:pPr>
    </w:p>
    <w:p w14:paraId="11969D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方正舒体"/>
    <w:panose1 w:val="02000000000000000000"/>
    <w:charset w:val="86"/>
    <w:family w:val="auto"/>
    <w:pitch w:val="default"/>
    <w:sig w:usb0="00000000" w:usb1="00000000" w:usb2="00000012" w:usb3="00000000" w:csb0="00040001" w:csb1="00000000"/>
  </w:font>
  <w:font w:name="????">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MDRjNTBjNjY1ZGRmM2RjYTI4MmI0ZDQ4YjQ0OGQifQ=="/>
  </w:docVars>
  <w:rsids>
    <w:rsidRoot w:val="472F3855"/>
    <w:rsid w:val="472F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2"/>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3">
    <w:name w:val="Normal Indent"/>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4">
    <w:name w:val="Body Text Indent"/>
    <w:basedOn w:val="1"/>
    <w:next w:val="5"/>
    <w:qFormat/>
    <w:uiPriority w:val="0"/>
    <w:pPr>
      <w:ind w:firstLine="560" w:firstLineChars="200"/>
    </w:pPr>
    <w:rPr>
      <w:sz w:val="28"/>
    </w:rPr>
  </w:style>
  <w:style w:type="paragraph" w:styleId="5">
    <w:name w:val="envelope return"/>
    <w:basedOn w:val="1"/>
    <w:qFormat/>
    <w:uiPriority w:val="0"/>
    <w:rPr>
      <w:rFonts w:ascii="Arial" w:hAnsi="Arial"/>
    </w:rPr>
  </w:style>
  <w:style w:type="paragraph" w:styleId="6">
    <w:name w:val="Body Text First Indent 2"/>
    <w:basedOn w:val="4"/>
    <w:qFormat/>
    <w:uiPriority w:val="0"/>
    <w:pPr>
      <w:spacing w:after="120"/>
      <w:ind w:left="420" w:leftChars="200" w:firstLine="420"/>
    </w:pPr>
    <w:rPr>
      <w:sz w:val="21"/>
    </w:rPr>
  </w:style>
  <w:style w:type="paragraph" w:customStyle="1" w:styleId="9">
    <w:name w:val="表格内容五号"/>
    <w:qFormat/>
    <w:uiPriority w:val="0"/>
    <w:pPr>
      <w:widowControl w:val="0"/>
      <w:spacing w:line="240" w:lineRule="auto"/>
      <w:ind w:firstLine="0" w:firstLineChars="0"/>
      <w:jc w:val="center"/>
    </w:pPr>
    <w:rPr>
      <w:rFonts w:ascii="Times New Roman" w:hAnsi="Times New Roman" w:eastAsia="宋体" w:cs="Arial Unicode MS"/>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2024-10-11T10:31:00Z</dcterms:created>
  <dc:creator>冯定辉</dc:creator>
  <cp:lastModifiedBy>冯定辉</cp:lastModifiedBy>
  <dcterms:modified xsi:type="dcterms:W3CDTF">2024-10-11T10:33:55Z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19DBBEF1FF3C40CCBA160FC545E22DC5_11</vt:lpwstr>
  </property>
</Properties>
</file>