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jc w:val="center"/>
        <w:outlineLvl w:val="0"/>
        <w:rPr>
          <w:rFonts w:hint="eastAsia" w:ascii="黑体" w:hAnsi="ˎ̥" w:eastAsia="黑体" w:cs="黑体"/>
          <w:kern w:val="0"/>
          <w:sz w:val="44"/>
          <w:szCs w:val="44"/>
        </w:rPr>
      </w:pPr>
      <w:r>
        <w:rPr>
          <w:rFonts w:hint="eastAsia" w:ascii="黑体" w:hAnsi="宋体" w:eastAsia="黑体" w:cs="黑体"/>
          <w:kern w:val="0"/>
          <w:sz w:val="44"/>
          <w:szCs w:val="44"/>
        </w:rPr>
        <w:t>海口市应急管理局</w:t>
      </w:r>
      <w:r>
        <w:rPr>
          <w:rFonts w:hint="eastAsia" w:ascii="黑体" w:hAnsi="ˎ̥" w:eastAsia="黑体" w:cs="黑体"/>
          <w:kern w:val="0"/>
          <w:sz w:val="44"/>
          <w:szCs w:val="44"/>
        </w:rPr>
        <w:t>2022</w:t>
      </w:r>
      <w:r>
        <w:rPr>
          <w:rFonts w:hint="eastAsia" w:ascii="黑体" w:hAnsi="宋体" w:eastAsia="黑体" w:cs="黑体"/>
          <w:kern w:val="0"/>
          <w:sz w:val="44"/>
          <w:szCs w:val="44"/>
        </w:rPr>
        <w:t>年度单位决算公开报告</w:t>
      </w:r>
    </w:p>
    <w:p>
      <w:pPr>
        <w:keepNext w:val="0"/>
        <w:keepLines w:val="0"/>
        <w:widowControl/>
        <w:suppressLineNumbers w:val="0"/>
        <w:spacing w:before="0" w:beforeAutospacing="1" w:after="0" w:afterAutospacing="1"/>
        <w:ind w:left="0" w:right="0"/>
        <w:jc w:val="center"/>
        <w:rPr>
          <w:rFonts w:hint="eastAsia" w:ascii="黑体" w:hAnsi="ˎ̥" w:eastAsia="黑体" w:cs="黑体"/>
          <w:b/>
          <w:kern w:val="0"/>
          <w:sz w:val="32"/>
          <w:szCs w:val="32"/>
        </w:rPr>
      </w:pPr>
      <w:r>
        <w:rPr>
          <w:rFonts w:hint="eastAsia" w:ascii="黑体" w:hAnsi="ˎ̥" w:eastAsia="黑体" w:cs="黑体"/>
          <w:b/>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44"/>
          <w:szCs w:val="44"/>
        </w:rPr>
      </w:pPr>
      <w:r>
        <w:rPr>
          <w:rFonts w:hint="eastAsia" w:ascii="黑体" w:hAnsi="宋体" w:eastAsia="黑体" w:cs="黑体"/>
          <w:kern w:val="0"/>
          <w:sz w:val="44"/>
          <w:szCs w:val="44"/>
        </w:rPr>
        <w:t>目  录</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第一部分 基本情况................................</w:t>
      </w:r>
      <w:r>
        <w:rPr>
          <w:rFonts w:hint="eastAsia" w:ascii="黑体" w:hAnsi="宋体" w:eastAsia="黑体" w:cs="黑体"/>
          <w:color w:val="000000"/>
          <w:kern w:val="0"/>
          <w:sz w:val="32"/>
          <w:szCs w:val="32"/>
        </w:rPr>
        <w:tab/>
      </w:r>
      <w:r>
        <w:rPr>
          <w:rFonts w:hint="eastAsia" w:ascii="黑体" w:hAnsi="宋体" w:eastAsia="黑体" w:cs="黑体"/>
          <w:color w:val="000000"/>
          <w:kern w:val="0"/>
          <w:sz w:val="32"/>
          <w:szCs w:val="32"/>
        </w:rPr>
        <w:t>2</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一、单位职责.....................................</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2</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二、机构设置....................................</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lang w:val="en-US" w:eastAsia="zh-CN"/>
        </w:rPr>
        <w:t>4</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黑体" w:hAnsi="宋体" w:eastAsia="黑体" w:cs="黑体"/>
          <w:color w:val="000000"/>
          <w:kern w:val="0"/>
          <w:sz w:val="32"/>
          <w:szCs w:val="32"/>
          <w:lang w:val="en-US" w:eastAsia="zh-CN"/>
        </w:rPr>
      </w:pPr>
      <w:r>
        <w:rPr>
          <w:rFonts w:hint="eastAsia" w:ascii="黑体" w:hAnsi="宋体" w:eastAsia="黑体" w:cs="黑体"/>
          <w:color w:val="000000"/>
          <w:kern w:val="0"/>
          <w:sz w:val="32"/>
          <w:szCs w:val="32"/>
        </w:rPr>
        <w:t>第二部分  2022年度单位决算公开表.................</w:t>
      </w:r>
      <w:r>
        <w:rPr>
          <w:rFonts w:hint="eastAsia" w:ascii="黑体" w:hAnsi="宋体" w:eastAsia="黑体" w:cs="黑体"/>
          <w:color w:val="000000"/>
          <w:kern w:val="0"/>
          <w:sz w:val="32"/>
          <w:szCs w:val="32"/>
        </w:rPr>
        <w:tab/>
      </w:r>
      <w:r>
        <w:rPr>
          <w:rFonts w:hint="eastAsia" w:ascii="黑体" w:hAnsi="宋体" w:eastAsia="黑体" w:cs="黑体"/>
          <w:color w:val="000000"/>
          <w:kern w:val="0"/>
          <w:sz w:val="32"/>
          <w:szCs w:val="32"/>
          <w:lang w:val="en-US" w:eastAsia="zh-CN"/>
        </w:rPr>
        <w:t>5</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val="en-US" w:eastAsia="zh-CN"/>
        </w:rPr>
      </w:pPr>
      <w:r>
        <w:rPr>
          <w:rFonts w:hint="eastAsia" w:ascii="黑体" w:hAnsi="宋体" w:eastAsia="黑体" w:cs="黑体"/>
          <w:color w:val="000000"/>
          <w:kern w:val="0"/>
          <w:sz w:val="32"/>
          <w:szCs w:val="32"/>
        </w:rPr>
        <w:t>第三部分  2022年度单位决算情况说明...............</w:t>
      </w:r>
      <w:r>
        <w:rPr>
          <w:rFonts w:hint="eastAsia" w:ascii="黑体" w:hAnsi="宋体" w:eastAsia="黑体" w:cs="黑体"/>
          <w:color w:val="000000"/>
          <w:kern w:val="0"/>
          <w:sz w:val="32"/>
          <w:szCs w:val="32"/>
          <w:lang w:val="en-US" w:eastAsia="zh-CN"/>
        </w:rPr>
        <w:t>6</w:t>
      </w:r>
      <w:r>
        <w:rPr>
          <w:rFonts w:hint="eastAsia" w:ascii="仿宋" w:hAnsi="仿宋" w:eastAsia="仿宋" w:cs="仿宋"/>
          <w:color w:val="000000"/>
          <w:kern w:val="0"/>
          <w:sz w:val="32"/>
          <w:szCs w:val="32"/>
        </w:rPr>
        <w:t>一、收入支出总体情况说明.........................</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lang w:val="en-US" w:eastAsia="zh-CN"/>
        </w:rPr>
        <w:t>6</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二、收入决算情况说明............................</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lang w:val="en-US" w:eastAsia="zh-CN"/>
        </w:rPr>
        <w:t>6</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三、支出决算情况说明............................</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lang w:val="en-US" w:eastAsia="zh-CN"/>
        </w:rPr>
        <w:t>7</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四、财政拨款收入支出决算情况说明................</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lang w:val="en-US" w:eastAsia="zh-CN"/>
        </w:rPr>
        <w:t>7</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五、一般公共预算财政拨款支出决算情况说明</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六、一般公共预算财政拨款基本支出决算情况说明.....</w:t>
      </w:r>
      <w:r>
        <w:rPr>
          <w:rFonts w:hint="eastAsia" w:ascii="仿宋" w:hAnsi="仿宋" w:eastAsia="仿宋" w:cs="仿宋"/>
          <w:color w:val="000000"/>
          <w:kern w:val="0"/>
          <w:sz w:val="32"/>
          <w:szCs w:val="32"/>
          <w:lang w:val="en-US" w:eastAsia="zh-CN"/>
        </w:rPr>
        <w:t>12</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七、</w:t>
      </w:r>
      <w:r>
        <w:rPr>
          <w:rFonts w:hint="eastAsia" w:ascii="仿宋" w:hAnsi="仿宋" w:eastAsia="仿宋" w:cs="仿宋"/>
          <w:color w:val="000000"/>
          <w:kern w:val="0"/>
          <w:sz w:val="32"/>
          <w:szCs w:val="32"/>
        </w:rPr>
        <w:t>政府性基金预算财政拨款支出决算情况说明.......</w:t>
      </w:r>
      <w:r>
        <w:rPr>
          <w:rFonts w:hint="eastAsia" w:ascii="仿宋" w:hAnsi="仿宋" w:eastAsia="仿宋" w:cs="仿宋"/>
          <w:color w:val="000000"/>
          <w:kern w:val="0"/>
          <w:sz w:val="32"/>
          <w:szCs w:val="32"/>
          <w:lang w:val="en-US" w:eastAsia="zh-CN"/>
        </w:rPr>
        <w:t>13</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八、</w:t>
      </w:r>
      <w:r>
        <w:rPr>
          <w:rFonts w:hint="eastAsia" w:ascii="仿宋" w:hAnsi="仿宋" w:eastAsia="仿宋" w:cs="仿宋"/>
          <w:color w:val="000000"/>
          <w:kern w:val="0"/>
          <w:sz w:val="32"/>
          <w:szCs w:val="32"/>
        </w:rPr>
        <w:t>国有资本经营预算财政拨款支出决算情况说明..</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w:t>
      </w:r>
    </w:p>
    <w:p>
      <w:pPr>
        <w:pStyle w:val="79"/>
        <w:keepNext w:val="0"/>
        <w:keepLines w:val="0"/>
        <w:widowControl w:val="0"/>
        <w:suppressLineNumbers w:val="0"/>
        <w:autoSpaceDE w:val="0"/>
        <w:autoSpaceDN/>
        <w:spacing w:before="0" w:beforeAutospacing="0" w:after="0" w:afterAutospacing="0" w:line="560" w:lineRule="exact"/>
        <w:ind w:left="3200" w:right="0" w:hanging="3200" w:hangingChars="10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九、财政拨款“三公”经费支出决算情况说明.........</w:t>
      </w:r>
      <w:r>
        <w:rPr>
          <w:rFonts w:hint="eastAsia" w:ascii="仿宋" w:hAnsi="仿宋" w:eastAsia="仿宋" w:cs="仿宋"/>
          <w:color w:val="000000"/>
          <w:kern w:val="0"/>
          <w:sz w:val="32"/>
          <w:szCs w:val="32"/>
          <w:lang w:val="en-US" w:eastAsia="zh-CN"/>
        </w:rPr>
        <w:t>15</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十、预算绩效情况说明......</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十一、其他重要事项情况说明................</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21</w:t>
      </w:r>
    </w:p>
    <w:p>
      <w:pPr>
        <w:pStyle w:val="79"/>
        <w:keepNext w:val="0"/>
        <w:keepLines w:val="0"/>
        <w:widowControl w:val="0"/>
        <w:suppressLineNumbers w:val="0"/>
        <w:autoSpaceDE w:val="0"/>
        <w:autoSpaceDN/>
        <w:spacing w:before="0" w:beforeAutospacing="0" w:after="0" w:afterAutospacing="0" w:line="560" w:lineRule="exact"/>
        <w:ind w:left="0" w:right="0"/>
        <w:jc w:val="left"/>
        <w:rPr>
          <w:rFonts w:hint="eastAsia" w:ascii="仿宋" w:hAnsi="仿宋" w:eastAsia="仿宋" w:cs="仿宋"/>
          <w:color w:val="000000"/>
          <w:kern w:val="0"/>
          <w:sz w:val="32"/>
          <w:szCs w:val="32"/>
        </w:rPr>
      </w:pPr>
      <w:r>
        <w:rPr>
          <w:rFonts w:hint="eastAsia" w:ascii="黑体" w:hAnsi="宋体" w:eastAsia="黑体" w:cs="黑体"/>
          <w:color w:val="000000"/>
          <w:kern w:val="0"/>
          <w:sz w:val="32"/>
          <w:szCs w:val="32"/>
        </w:rPr>
        <w:t>第四部分  名词解释...............................</w:t>
      </w:r>
      <w:r>
        <w:rPr>
          <w:rFonts w:hint="eastAsia" w:ascii="黑体" w:hAnsi="宋体" w:eastAsia="黑体" w:cs="黑体"/>
          <w:color w:val="000000"/>
          <w:kern w:val="0"/>
          <w:sz w:val="32"/>
          <w:szCs w:val="32"/>
          <w:lang w:val="en-US" w:eastAsia="zh-CN"/>
        </w:rPr>
        <w:t>23</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 xml:space="preserve"> </w:t>
      </w:r>
    </w:p>
    <w:p>
      <w:pPr>
        <w:pStyle w:val="79"/>
        <w:keepNext w:val="0"/>
        <w:keepLines w:val="0"/>
        <w:widowControl w:val="0"/>
        <w:suppressLineNumbers w:val="0"/>
        <w:autoSpaceDE w:val="0"/>
        <w:autoSpaceDN/>
        <w:spacing w:before="0" w:beforeAutospacing="0" w:after="0" w:afterAutospacing="0" w:line="560" w:lineRule="exact"/>
        <w:ind w:left="0" w:right="0"/>
        <w:jc w:val="center"/>
        <w:rPr>
          <w:rFonts w:hint="eastAsia" w:ascii="黑体" w:hAnsi="ˎ̥" w:eastAsia="黑体" w:cs="宋体"/>
          <w:color w:val="000000"/>
          <w:kern w:val="0"/>
          <w:sz w:val="32"/>
          <w:szCs w:val="32"/>
        </w:rPr>
      </w:pPr>
      <w:r>
        <w:rPr>
          <w:rFonts w:hint="eastAsia" w:ascii="黑体" w:hAnsi="宋体" w:eastAsia="黑体" w:cs="黑体"/>
          <w:color w:val="000000"/>
          <w:kern w:val="0"/>
          <w:sz w:val="32"/>
          <w:szCs w:val="32"/>
        </w:rPr>
        <w:t>第一部分</w:t>
      </w:r>
      <w:r>
        <w:rPr>
          <w:rFonts w:hint="eastAsia" w:ascii="黑体" w:hAnsi="ˎ̥" w:eastAsia="黑体" w:cs="宋体"/>
          <w:color w:val="000000"/>
          <w:kern w:val="0"/>
          <w:sz w:val="32"/>
          <w:szCs w:val="32"/>
        </w:rPr>
        <w:t xml:space="preserve">  </w:t>
      </w:r>
      <w:r>
        <w:rPr>
          <w:rFonts w:hint="eastAsia" w:ascii="黑体" w:hAnsi="宋体" w:eastAsia="黑体" w:cs="黑体"/>
          <w:color w:val="000000"/>
          <w:kern w:val="0"/>
          <w:sz w:val="32"/>
          <w:szCs w:val="32"/>
        </w:rPr>
        <w:t>基本情况</w:t>
      </w:r>
    </w:p>
    <w:p>
      <w:pPr>
        <w:keepNext w:val="0"/>
        <w:keepLines w:val="0"/>
        <w:widowControl w:val="0"/>
        <w:suppressLineNumbers w:val="0"/>
        <w:autoSpaceDE w:val="0"/>
        <w:autoSpaceDN/>
        <w:spacing w:line="560" w:lineRule="exact"/>
        <w:ind w:left="0"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 xml:space="preserve"> </w:t>
      </w:r>
    </w:p>
    <w:p>
      <w:pPr>
        <w:keepNext w:val="0"/>
        <w:keepLines w:val="0"/>
        <w:widowControl w:val="0"/>
        <w:numPr>
          <w:ilvl w:val="0"/>
          <w:numId w:val="1"/>
        </w:numPr>
        <w:suppressLineNumbers w:val="0"/>
        <w:autoSpaceDE w:val="0"/>
        <w:autoSpaceDN/>
        <w:spacing w:line="560" w:lineRule="exact"/>
        <w:ind w:left="0" w:firstLine="640" w:firstLineChars="200"/>
        <w:outlineLvl w:val="1"/>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单位职责</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 xml:space="preserve">应急管理局主要职责为 : </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一）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二）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（三）负责自然灾害综合监测预警工作，建立健全监测预警和灾情报告制度、自然灾害信息资源获取和共享机制，依法统一发布灾情，组织开展自然灾害综合风险评估工作。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（四）组织指导协调安全生产类、自然灾害类等突发事件应急救援，综合研判突发事件发展态势并提出应对建议，协助市委、市政府指定的负责同志组织重大灾害应急处置工作。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（五）统一协调指挥全市各类应急专业队伍，建立应急协调联动机制，衔接驻市军警部队参与应急救援和处置工作。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（六）统筹全市应急救援力量建设，负责火灾扑救、抗洪抢险、地震和地质灾害救援、生产安全事故救援等专业应急救援力量建设，指导各区（开发区）及社会应急救援力量建设。</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（七）负责全市消防工作，指导消防监督、火灾预防、火灾扑救等工作。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（八）指导协调全市森林火灾、水旱灾害、台风灾害、地震和地质灾害等防治工作。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（十）依法行使安全生产综合监督管理职权，指导协调、监督检查各区人民政府和市级有关部门安全生产工作，组织开展安全生产巡查、考核工作。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（十二）依法组织指导生产安全事故调查处理，组织开展自然灾害类突发事件调查评估工作，监督事故查处和责任追究落实情况。</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（十三）开展应急管理方面的对外交流合作。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（十四）制定全市应急物资储备和应急救援装备规划并组织实施；会同市发展改革委员会等部门建立健全应急物资信息平台和调拨制度，在救灾时统一调度。</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（十五）负责全市应急管理、安全生产宣传教育和培训工作，组织指导应急管理、安全生产的科学技术研究、推广应用和信息化建设工作。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（十六）负责全市海洋预报减灾工作，组织开展海洋观测、预报、海洋灾害应急处理工作。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（十七）负责建立全市地震监测预报工作体系，组织协调建立震灾预防工作体系，组织开展地震紧急救援工作。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（十八）承担市突发公共事件应急委员会、市安全生产委员会、市减灾委员会、市防汛防风防旱指挥部、市森林防火指挥部、市抗震救灾指挥部日常工作。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（十九）指导各区应急管理工作。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（二十）完成市委、市政府和上级部门交办的其他任务。</w:t>
      </w:r>
    </w:p>
    <w:p>
      <w:pPr>
        <w:keepNext w:val="0"/>
        <w:keepLines w:val="0"/>
        <w:widowControl/>
        <w:suppressLineNumbers w:val="0"/>
        <w:spacing w:line="560" w:lineRule="exact"/>
        <w:outlineLvl w:val="1"/>
        <w:rPr>
          <w:rFonts w:hint="eastAsia" w:ascii="黑体" w:hAnsi="宋体" w:eastAsia="黑体" w:cs="黑体"/>
          <w:kern w:val="0"/>
          <w:sz w:val="32"/>
          <w:szCs w:val="32"/>
        </w:rPr>
      </w:pPr>
      <w:r>
        <w:rPr>
          <w:rFonts w:hint="eastAsia" w:ascii="黑体" w:hAnsi="宋体" w:eastAsia="黑体" w:cs="黑体"/>
          <w:kern w:val="0"/>
          <w:sz w:val="32"/>
          <w:szCs w:val="32"/>
        </w:rPr>
        <w:t xml:space="preserve"> 二、机构设置</w:t>
      </w:r>
    </w:p>
    <w:p>
      <w:pPr>
        <w:keepNext w:val="0"/>
        <w:keepLines w:val="0"/>
        <w:widowControl/>
        <w:suppressLineNumbers w:val="0"/>
        <w:autoSpaceDE w:val="0"/>
        <w:autoSpaceDN/>
        <w:ind w:left="0" w:firstLine="640" w:firstLineChars="200"/>
        <w:jc w:val="left"/>
        <w:rPr>
          <w:rFonts w:hint="default" w:ascii="仿宋_GB2312" w:hAnsi="宋体" w:eastAsia="仿宋_GB2312" w:cs="仿宋_GB2312"/>
          <w:color w:val="000000"/>
          <w:kern w:val="0"/>
          <w:sz w:val="32"/>
          <w:szCs w:val="32"/>
        </w:rPr>
      </w:pPr>
      <w:r>
        <w:rPr>
          <w:rFonts w:hint="default" w:ascii="仿宋_GB2312" w:hAnsi="ˎ̥" w:eastAsia="仿宋_GB2312" w:cs="仿宋_GB2312"/>
          <w:kern w:val="0"/>
          <w:sz w:val="32"/>
          <w:szCs w:val="32"/>
        </w:rPr>
        <w:t>海口市应急管理局</w:t>
      </w:r>
      <w:r>
        <w:rPr>
          <w:rFonts w:hint="default" w:ascii="仿宋_GB2312" w:hAnsi="ˎ̥" w:eastAsia="仿宋_GB2312" w:cs="宋体"/>
          <w:kern w:val="0"/>
          <w:sz w:val="32"/>
          <w:szCs w:val="32"/>
        </w:rPr>
        <w:t>2022</w:t>
      </w:r>
      <w:r>
        <w:rPr>
          <w:rFonts w:hint="default" w:ascii="仿宋_GB2312" w:hAnsi="ˎ̥" w:eastAsia="仿宋_GB2312" w:cs="仿宋_GB2312"/>
          <w:kern w:val="0"/>
          <w:sz w:val="32"/>
          <w:szCs w:val="32"/>
        </w:rPr>
        <w:t>年度单位决算编制范围的二级预算单位为</w:t>
      </w:r>
      <w:r>
        <w:rPr>
          <w:rFonts w:hint="default" w:ascii="仿宋_GB2312" w:hAnsi="宋体" w:eastAsia="仿宋_GB2312" w:cs="仿宋_GB2312"/>
          <w:kern w:val="0"/>
          <w:sz w:val="32"/>
          <w:szCs w:val="32"/>
        </w:rPr>
        <w:t>海口市应急管理局本级。</w:t>
      </w:r>
      <w:r>
        <w:rPr>
          <w:rFonts w:hint="default" w:ascii="仿宋_GB2312" w:hAnsi="宋体" w:eastAsia="仿宋_GB2312" w:cs="仿宋_GB2312"/>
          <w:color w:val="000000"/>
          <w:kern w:val="0"/>
          <w:sz w:val="32"/>
          <w:szCs w:val="32"/>
        </w:rPr>
        <w:t>根据三定方案共设有九个科室，分别是</w:t>
      </w:r>
      <w:r>
        <w:rPr>
          <w:rFonts w:hint="default" w:ascii="仿宋_GB2312" w:hAnsi="宋体" w:eastAsia="仿宋_GB2312" w:cs="仿宋_GB2312"/>
          <w:kern w:val="0"/>
          <w:sz w:val="32"/>
          <w:szCs w:val="32"/>
        </w:rPr>
        <w:t>：办公室、组织人事科、应急指挥科、政策法规和事故调查科、综合减灾和火灾防治科、防汛防风防旱和海洋减灾科、防震减灾管理科、安全生产综合协调科、安全生产监督科（行政审批办公室）。应急管理局机关行政编制 40 名。设局长 1 名，副局长 3 名，另市消防救援支队 1 名主要负责人兼任副局长。科级领导职数 21 名，其中正科级 11 名（含机关党委专职副书记和总工程师各 1 名），副科级 10 名。截至2022</w:t>
      </w:r>
      <w:r>
        <w:rPr>
          <w:rFonts w:hint="default" w:ascii="仿宋_GB2312" w:hAnsi="宋体" w:eastAsia="仿宋_GB2312" w:cs="仿宋_GB2312"/>
          <w:color w:val="000000"/>
          <w:kern w:val="0"/>
          <w:sz w:val="32"/>
          <w:szCs w:val="32"/>
        </w:rPr>
        <w:t>年12月31日局机关现有人员63人，其中：公务员</w:t>
      </w:r>
      <w:r>
        <w:rPr>
          <w:rFonts w:hint="default" w:ascii="仿宋_GB2312" w:hAnsi="宋体" w:eastAsia="仿宋_GB2312" w:cs="仿宋_GB2312"/>
          <w:kern w:val="0"/>
          <w:sz w:val="32"/>
          <w:szCs w:val="32"/>
        </w:rPr>
        <w:t>56</w:t>
      </w:r>
      <w:r>
        <w:rPr>
          <w:rFonts w:hint="default" w:ascii="仿宋_GB2312" w:hAnsi="宋体" w:eastAsia="仿宋_GB2312" w:cs="仿宋_GB2312"/>
          <w:color w:val="000000"/>
          <w:kern w:val="0"/>
          <w:sz w:val="32"/>
          <w:szCs w:val="32"/>
        </w:rPr>
        <w:t>名、工勤人员7名。</w:t>
      </w:r>
    </w:p>
    <w:p>
      <w:pPr>
        <w:keepNext w:val="0"/>
        <w:keepLines w:val="0"/>
        <w:widowControl w:val="0"/>
        <w:suppressLineNumbers w:val="0"/>
        <w:autoSpaceDE w:val="0"/>
        <w:autoSpaceDN/>
        <w:spacing w:line="560" w:lineRule="exact"/>
        <w:ind w:leftChars="200" w:right="0" w:rightChars="0"/>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  </w:t>
      </w:r>
    </w:p>
    <w:p>
      <w:pPr>
        <w:keepNext w:val="0"/>
        <w:keepLines w:val="0"/>
        <w:widowControl w:val="0"/>
        <w:suppressLineNumbers w:val="0"/>
        <w:autoSpaceDE w:val="0"/>
        <w:autoSpaceDN/>
        <w:spacing w:line="560" w:lineRule="exact"/>
        <w:jc w:val="center"/>
        <w:outlineLvl w:val="0"/>
        <w:rPr>
          <w:rFonts w:hint="eastAsia" w:ascii="黑体" w:hAnsi="ˎ̥" w:eastAsia="黑体" w:cs="宋体"/>
          <w:color w:val="000000"/>
          <w:kern w:val="0"/>
          <w:sz w:val="32"/>
          <w:szCs w:val="32"/>
        </w:rPr>
      </w:pPr>
      <w:r>
        <w:rPr>
          <w:rFonts w:hint="eastAsia" w:ascii="黑体" w:hAnsi="宋体" w:eastAsia="黑体" w:cs="黑体"/>
          <w:color w:val="000000"/>
          <w:kern w:val="0"/>
          <w:sz w:val="32"/>
          <w:szCs w:val="32"/>
        </w:rPr>
        <w:t>第二部分</w:t>
      </w:r>
      <w:r>
        <w:rPr>
          <w:rFonts w:hint="eastAsia" w:ascii="黑体" w:hAnsi="ˎ̥" w:eastAsia="黑体" w:cs="宋体"/>
          <w:color w:val="000000"/>
          <w:kern w:val="0"/>
          <w:sz w:val="32"/>
          <w:szCs w:val="32"/>
        </w:rPr>
        <w:t xml:space="preserve">  2022年度</w:t>
      </w:r>
      <w:r>
        <w:rPr>
          <w:rFonts w:hint="eastAsia" w:ascii="黑体" w:hAnsi="宋体" w:eastAsia="黑体" w:cs="黑体"/>
          <w:color w:val="000000"/>
          <w:kern w:val="0"/>
          <w:sz w:val="32"/>
          <w:szCs w:val="32"/>
        </w:rPr>
        <w:t>单位决算公开报表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 xml:space="preserve"> </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一、收入支出决算公开表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二、收入决算公开表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三、支出决算公开表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四、财政拨款收入支出决算公开表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五、一般公共预算财政拨款收入支出决算公开表</w:t>
      </w:r>
    </w:p>
    <w:p>
      <w:pPr>
        <w:keepNext w:val="0"/>
        <w:keepLines w:val="0"/>
        <w:widowControl w:val="0"/>
        <w:suppressLineNumbers w:val="0"/>
        <w:autoSpaceDE w:val="0"/>
        <w:autoSpaceDN/>
        <w:spacing w:line="560" w:lineRule="exact"/>
        <w:ind w:left="0" w:firstLine="645"/>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六、一般公共预算财政拨款基本支出决算公开表</w:t>
      </w:r>
    </w:p>
    <w:p>
      <w:pPr>
        <w:keepNext w:val="0"/>
        <w:keepLines w:val="0"/>
        <w:widowControl w:val="0"/>
        <w:suppressLineNumbers w:val="0"/>
        <w:autoSpaceDE w:val="0"/>
        <w:autoSpaceDN/>
        <w:spacing w:line="560" w:lineRule="exact"/>
        <w:ind w:left="1210" w:leftChars="304" w:hanging="480" w:hangingChars="150"/>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七、政府性基金预算财政拨款收入支出决算公开表</w:t>
      </w:r>
    </w:p>
    <w:p>
      <w:pPr>
        <w:keepNext w:val="0"/>
        <w:keepLines w:val="0"/>
        <w:widowControl w:val="0"/>
        <w:suppressLineNumbers w:val="0"/>
        <w:autoSpaceDE w:val="0"/>
        <w:autoSpaceDN/>
        <w:spacing w:line="560" w:lineRule="exact"/>
        <w:ind w:left="1210" w:leftChars="304" w:hanging="480" w:hangingChars="150"/>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八、国有资本经营预算财政拨款收入支出决算公开表</w:t>
      </w:r>
    </w:p>
    <w:p>
      <w:pPr>
        <w:keepNext w:val="0"/>
        <w:keepLines w:val="0"/>
        <w:widowControl w:val="0"/>
        <w:suppressLineNumbers w:val="0"/>
        <w:autoSpaceDE w:val="0"/>
        <w:autoSpaceDN/>
        <w:spacing w:line="560" w:lineRule="exact"/>
        <w:ind w:left="0" w:firstLine="640"/>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九、财政拨款“三公”经费支出决算公开表</w:t>
      </w:r>
    </w:p>
    <w:p>
      <w:pPr>
        <w:keepNext w:val="0"/>
        <w:keepLines w:val="0"/>
        <w:widowControl w:val="0"/>
        <w:suppressLineNumbers w:val="0"/>
        <w:autoSpaceDE w:val="0"/>
        <w:autoSpaceDN/>
        <w:spacing w:line="560" w:lineRule="exact"/>
        <w:ind w:left="0" w:firstLine="640"/>
        <w:rPr>
          <w:rFonts w:hint="eastAsia" w:ascii="黑体" w:hAnsi="宋体" w:eastAsia="黑体" w:cs="黑体"/>
          <w:kern w:val="0"/>
          <w:sz w:val="32"/>
          <w:szCs w:val="32"/>
        </w:rPr>
      </w:pPr>
      <w:r>
        <w:rPr>
          <w:rFonts w:hint="eastAsia" w:ascii="黑体" w:hAnsi="宋体" w:eastAsia="黑体" w:cs="黑体"/>
          <w:color w:val="000000"/>
          <w:kern w:val="0"/>
          <w:sz w:val="32"/>
          <w:szCs w:val="32"/>
        </w:rPr>
        <w:t xml:space="preserve">以上报表见附件1。   </w:t>
      </w:r>
      <w:r>
        <w:rPr>
          <w:rFonts w:hint="eastAsia" w:ascii="黑体" w:hAnsi="宋体" w:eastAsia="黑体" w:cs="黑体"/>
          <w:kern w:val="0"/>
          <w:sz w:val="32"/>
          <w:szCs w:val="32"/>
        </w:rPr>
        <w:t xml:space="preserve">  </w:t>
      </w:r>
    </w:p>
    <w:p>
      <w:pPr>
        <w:keepNext w:val="0"/>
        <w:keepLines w:val="0"/>
        <w:widowControl/>
        <w:suppressLineNumbers w:val="0"/>
        <w:spacing w:before="0" w:beforeAutospacing="1" w:after="0" w:afterAutospacing="1"/>
        <w:ind w:left="0" w:right="0"/>
        <w:jc w:val="center"/>
        <w:outlineLvl w:val="0"/>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jc w:val="center"/>
        <w:outlineLvl w:val="0"/>
        <w:rPr>
          <w:rFonts w:hint="eastAsia" w:ascii="黑体" w:hAnsi="ˎ̥" w:eastAsia="黑体" w:cs="黑体"/>
          <w:kern w:val="0"/>
          <w:sz w:val="32"/>
          <w:szCs w:val="32"/>
        </w:rPr>
      </w:pPr>
      <w:r>
        <w:rPr>
          <w:rFonts w:hint="eastAsia" w:ascii="黑体" w:hAnsi="宋体" w:eastAsia="黑体" w:cs="黑体"/>
          <w:kern w:val="0"/>
          <w:sz w:val="32"/>
          <w:szCs w:val="32"/>
        </w:rPr>
        <w:t>第三部分</w:t>
      </w:r>
      <w:r>
        <w:rPr>
          <w:rFonts w:hint="eastAsia" w:ascii="黑体" w:hAnsi="ˎ̥" w:eastAsia="黑体" w:cs="黑体"/>
          <w:kern w:val="0"/>
          <w:sz w:val="32"/>
          <w:szCs w:val="32"/>
        </w:rPr>
        <w:t xml:space="preserve">  2022</w:t>
      </w:r>
      <w:r>
        <w:rPr>
          <w:rFonts w:hint="eastAsia" w:ascii="黑体" w:hAnsi="宋体" w:eastAsia="黑体" w:cs="黑体"/>
          <w:kern w:val="0"/>
          <w:sz w:val="32"/>
          <w:szCs w:val="32"/>
        </w:rPr>
        <w:t>年度单位决算情况说明</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keepNext w:val="0"/>
        <w:keepLines w:val="0"/>
        <w:widowControl/>
        <w:suppressLineNumbers w:val="0"/>
        <w:spacing w:before="0" w:beforeAutospacing="1" w:after="0" w:afterAutospacing="1"/>
        <w:ind w:left="0" w:right="0" w:firstLine="640" w:firstLineChars="200"/>
        <w:outlineLvl w:val="1"/>
        <w:rPr>
          <w:rFonts w:hint="default" w:ascii="仿宋_GB2312" w:hAnsi="ˎ̥" w:eastAsia="仿宋_GB2312" w:cs="仿宋_GB2312"/>
          <w:kern w:val="0"/>
          <w:sz w:val="32"/>
          <w:szCs w:val="32"/>
        </w:rPr>
      </w:pPr>
      <w:r>
        <w:rPr>
          <w:rFonts w:hint="eastAsia" w:ascii="黑体" w:hAnsi="宋体" w:eastAsia="黑体" w:cs="黑体"/>
          <w:kern w:val="0"/>
          <w:sz w:val="32"/>
          <w:szCs w:val="32"/>
        </w:rPr>
        <w:t>一、收入支出总体情况说明</w:t>
      </w:r>
      <w:r>
        <w:rPr>
          <w:rFonts w:hint="eastAsia" w:ascii="黑体" w:hAnsi="宋体" w:eastAsia="黑体" w:cs="黑体"/>
          <w:kern w:val="0"/>
          <w:sz w:val="32"/>
          <w:szCs w:val="32"/>
        </w:rPr>
        <w:br w:type="textWrapping"/>
      </w:r>
      <w:r>
        <w:rPr>
          <w:rFonts w:hint="default" w:ascii="楷体_GB2312" w:hAnsi="ˎ̥" w:eastAsia="楷体_GB2312" w:cs="楷体_GB2312"/>
          <w:kern w:val="0"/>
          <w:sz w:val="32"/>
          <w:szCs w:val="32"/>
        </w:rPr>
        <w:t xml:space="preserve">    </w:t>
      </w:r>
      <w:r>
        <w:rPr>
          <w:rFonts w:hint="default" w:ascii="仿宋_GB2312" w:hAnsi="ˎ̥" w:eastAsia="仿宋_GB2312" w:cs="仿宋_GB2312"/>
          <w:kern w:val="0"/>
          <w:sz w:val="32"/>
          <w:szCs w:val="32"/>
        </w:rPr>
        <w:t>2022年度收入总计</w:t>
      </w:r>
      <w:r>
        <w:rPr>
          <w:rFonts w:hint="default" w:ascii="仿宋_GB2312" w:hAnsi="宋体" w:eastAsia="仿宋_GB2312" w:cs="仿宋_GB2312"/>
          <w:kern w:val="0"/>
          <w:sz w:val="32"/>
          <w:szCs w:val="32"/>
        </w:rPr>
        <w:t>4,699.97</w:t>
      </w:r>
      <w:r>
        <w:rPr>
          <w:rFonts w:hint="default" w:ascii="仿宋_GB2312" w:hAnsi="ˎ̥" w:eastAsia="仿宋_GB2312" w:cs="仿宋_GB2312"/>
          <w:kern w:val="0"/>
          <w:sz w:val="32"/>
          <w:szCs w:val="32"/>
        </w:rPr>
        <w:t>万元，支出总计</w:t>
      </w:r>
      <w:r>
        <w:rPr>
          <w:rFonts w:hint="default" w:ascii="仿宋_GB2312" w:hAnsi="宋体" w:eastAsia="仿宋_GB2312" w:cs="仿宋_GB2312"/>
          <w:kern w:val="0"/>
          <w:sz w:val="32"/>
          <w:szCs w:val="32"/>
        </w:rPr>
        <w:t>4,699.97</w:t>
      </w:r>
      <w:r>
        <w:rPr>
          <w:rFonts w:hint="default" w:ascii="仿宋_GB2312" w:hAnsi="ˎ̥" w:eastAsia="仿宋_GB2312" w:cs="仿宋_GB2312"/>
          <w:kern w:val="0"/>
          <w:sz w:val="32"/>
          <w:szCs w:val="32"/>
        </w:rPr>
        <w:t>万元，与2022年度相比，收入、支出总计各增加1034.13万元，增长28.21%。主要原因：预算项目资金增加。使用非财政拨款结余</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万元，较2021年度决算数减少0.02万元，主要原因是2022年没有使用非财政拨款结余。年初结转结余</w:t>
      </w:r>
      <w:r>
        <w:rPr>
          <w:rFonts w:hint="default" w:ascii="仿宋_GB2312" w:hAnsi="宋体" w:eastAsia="仿宋_GB2312" w:cs="仿宋_GB2312"/>
          <w:kern w:val="0"/>
          <w:sz w:val="32"/>
          <w:szCs w:val="32"/>
        </w:rPr>
        <w:t>0.02</w:t>
      </w:r>
      <w:r>
        <w:rPr>
          <w:rFonts w:hint="default" w:ascii="仿宋_GB2312" w:hAnsi="ˎ̥" w:eastAsia="仿宋_GB2312" w:cs="仿宋_GB2312"/>
          <w:kern w:val="0"/>
          <w:sz w:val="32"/>
          <w:szCs w:val="32"/>
        </w:rPr>
        <w:t>万元，主要是其他收入，较2021年度决算数减少2.7万元，下降99.26%，主要原因是其他收入减少。结余分配</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万元，与2021年度决算数持平。年末结转结余</w:t>
      </w:r>
      <w:r>
        <w:rPr>
          <w:rFonts w:hint="default" w:ascii="仿宋_GB2312" w:hAnsi="宋体" w:eastAsia="仿宋_GB2312" w:cs="仿宋_GB2312"/>
          <w:kern w:val="0"/>
          <w:sz w:val="32"/>
          <w:szCs w:val="32"/>
        </w:rPr>
        <w:t>0.02</w:t>
      </w:r>
      <w:r>
        <w:rPr>
          <w:rFonts w:hint="default" w:ascii="仿宋_GB2312" w:hAnsi="ˎ̥" w:eastAsia="仿宋_GB2312" w:cs="仿宋_GB2312"/>
          <w:kern w:val="0"/>
          <w:sz w:val="32"/>
          <w:szCs w:val="32"/>
        </w:rPr>
        <w:t>万元，主要是其他收入，较2021年度决算数增加0.02万元，增长100%，主要原因是其他收入增加。</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（注：2022年度相关决算数据可取自附件财决公开01表；2021年度相关决算数据可取自2021年度部门决算报表财决01表《收入支出决算总表》）</w:t>
      </w:r>
    </w:p>
    <w:p>
      <w:pPr>
        <w:keepNext w:val="0"/>
        <w:keepLines w:val="0"/>
        <w:widowControl/>
        <w:suppressLineNumbers w:val="0"/>
        <w:spacing w:before="0" w:beforeAutospacing="1" w:after="0" w:afterAutospacing="1"/>
        <w:ind w:left="0" w:right="0" w:firstLine="640" w:firstLineChars="200"/>
        <w:outlineLvl w:val="1"/>
        <w:rPr>
          <w:rFonts w:hint="default" w:ascii="仿宋_GB2312" w:hAnsi="ˎ̥" w:eastAsia="仿宋_GB2312" w:cs="仿宋_GB2312"/>
          <w:kern w:val="0"/>
          <w:sz w:val="32"/>
          <w:szCs w:val="32"/>
        </w:rPr>
      </w:pPr>
      <w:r>
        <w:rPr>
          <w:rFonts w:hint="eastAsia" w:ascii="黑体" w:hAnsi="宋体" w:eastAsia="黑体" w:cs="黑体"/>
          <w:kern w:val="0"/>
          <w:sz w:val="32"/>
          <w:szCs w:val="32"/>
        </w:rPr>
        <w:t>二、收入决算情况说明</w:t>
      </w:r>
      <w:r>
        <w:rPr>
          <w:rFonts w:hint="eastAsia" w:ascii="黑体" w:hAnsi="宋体" w:eastAsia="黑体" w:cs="黑体"/>
          <w:kern w:val="0"/>
          <w:sz w:val="32"/>
          <w:szCs w:val="32"/>
        </w:rPr>
        <w:br w:type="textWrapping"/>
      </w:r>
      <w:r>
        <w:rPr>
          <w:rFonts w:hint="default" w:ascii="仿宋_GB2312" w:hAnsi="ˎ̥" w:eastAsia="仿宋_GB2312" w:cs="仿宋_GB2312"/>
          <w:kern w:val="0"/>
          <w:sz w:val="32"/>
          <w:szCs w:val="32"/>
        </w:rPr>
        <w:t xml:space="preserve">    本年收入合计</w:t>
      </w:r>
      <w:r>
        <w:rPr>
          <w:rFonts w:hint="default" w:ascii="仿宋_GB2312" w:hAnsi="宋体" w:eastAsia="仿宋_GB2312" w:cs="仿宋_GB2312"/>
          <w:kern w:val="0"/>
          <w:sz w:val="32"/>
          <w:szCs w:val="32"/>
        </w:rPr>
        <w:t>4,699.95</w:t>
      </w:r>
      <w:r>
        <w:rPr>
          <w:rFonts w:hint="default" w:ascii="仿宋_GB2312" w:hAnsi="ˎ̥" w:eastAsia="仿宋_GB2312" w:cs="仿宋_GB2312"/>
          <w:kern w:val="0"/>
          <w:sz w:val="32"/>
          <w:szCs w:val="32"/>
        </w:rPr>
        <w:t>万元，其中：财政拨款收入</w:t>
      </w:r>
      <w:r>
        <w:rPr>
          <w:rFonts w:hint="default" w:ascii="仿宋_GB2312" w:hAnsi="宋体" w:eastAsia="仿宋_GB2312" w:cs="仿宋_GB2312"/>
          <w:kern w:val="0"/>
          <w:sz w:val="32"/>
          <w:szCs w:val="32"/>
        </w:rPr>
        <w:t>4,699.95</w:t>
      </w:r>
      <w:r>
        <w:rPr>
          <w:rFonts w:hint="default" w:ascii="仿宋_GB2312" w:hAnsi="ˎ̥" w:eastAsia="仿宋_GB2312" w:cs="仿宋_GB2312"/>
          <w:kern w:val="0"/>
          <w:sz w:val="32"/>
          <w:szCs w:val="32"/>
        </w:rPr>
        <w:t>万元，占100%；上级补助收入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万元，占0%；事业收入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万元，占0%；经营收入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万元，占0%；附属单位上缴收入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万元，占0%；其他收入</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w:t>
      </w:r>
    </w:p>
    <w:p>
      <w:pPr>
        <w:keepNext w:val="0"/>
        <w:keepLines w:val="0"/>
        <w:widowControl/>
        <w:suppressLineNumbers w:val="0"/>
        <w:spacing w:before="0" w:beforeAutospacing="1" w:after="0" w:afterAutospacing="1"/>
        <w:ind w:left="470" w:leftChars="196"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（注：上述各项收入数字可取自财决公开02表）</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三、支出决算情况说明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本年支出合计</w:t>
      </w:r>
      <w:r>
        <w:rPr>
          <w:rFonts w:hint="default" w:ascii="仿宋_GB2312" w:hAnsi="宋体" w:eastAsia="仿宋_GB2312" w:cs="仿宋_GB2312"/>
          <w:kern w:val="0"/>
          <w:sz w:val="32"/>
          <w:szCs w:val="32"/>
        </w:rPr>
        <w:t>4,699.95</w:t>
      </w:r>
      <w:r>
        <w:rPr>
          <w:rFonts w:hint="default" w:ascii="仿宋_GB2312" w:hAnsi="ˎ̥" w:eastAsia="仿宋_GB2312" w:cs="仿宋_GB2312"/>
          <w:kern w:val="0"/>
          <w:sz w:val="32"/>
          <w:szCs w:val="32"/>
        </w:rPr>
        <w:t>万元，其中：基本支出</w:t>
      </w:r>
      <w:r>
        <w:rPr>
          <w:rFonts w:hint="default" w:ascii="仿宋_GB2312" w:hAnsi="宋体" w:eastAsia="仿宋_GB2312" w:cs="仿宋_GB2312"/>
          <w:kern w:val="0"/>
          <w:sz w:val="32"/>
          <w:szCs w:val="32"/>
        </w:rPr>
        <w:t>1,618.12</w:t>
      </w:r>
      <w:r>
        <w:rPr>
          <w:rFonts w:hint="default" w:ascii="仿宋_GB2312" w:hAnsi="ˎ̥" w:eastAsia="仿宋_GB2312" w:cs="仿宋_GB2312"/>
          <w:kern w:val="0"/>
          <w:sz w:val="32"/>
          <w:szCs w:val="32"/>
        </w:rPr>
        <w:t>万元，占34.43%；项目支出</w:t>
      </w:r>
      <w:r>
        <w:rPr>
          <w:rFonts w:hint="default" w:ascii="仿宋_GB2312" w:hAnsi="宋体" w:eastAsia="仿宋_GB2312" w:cs="仿宋_GB2312"/>
          <w:kern w:val="0"/>
          <w:sz w:val="32"/>
          <w:szCs w:val="32"/>
        </w:rPr>
        <w:t>3,081.83</w:t>
      </w:r>
      <w:r>
        <w:rPr>
          <w:rFonts w:hint="default" w:ascii="仿宋_GB2312" w:hAnsi="ˎ̥" w:eastAsia="仿宋_GB2312" w:cs="仿宋_GB2312"/>
          <w:kern w:val="0"/>
          <w:sz w:val="32"/>
          <w:szCs w:val="32"/>
        </w:rPr>
        <w:t>万元，占65.57%；上缴上级支出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万元，占0%；经营支出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万元，占0%；对附属单位补助支出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（注：上述各项支出数字可取自财决公开03表）</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四、财政拨款收入支出决算总体情况说明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2022年度财政拨款收入</w:t>
      </w:r>
      <w:r>
        <w:rPr>
          <w:rFonts w:hint="default" w:ascii="仿宋_GB2312" w:hAnsi="宋体" w:eastAsia="仿宋_GB2312" w:cs="仿宋_GB2312"/>
          <w:kern w:val="0"/>
          <w:sz w:val="32"/>
          <w:szCs w:val="32"/>
        </w:rPr>
        <w:t>4,699.95</w:t>
      </w:r>
      <w:r>
        <w:rPr>
          <w:rFonts w:hint="default" w:ascii="仿宋_GB2312" w:hAnsi="ˎ̥" w:eastAsia="仿宋_GB2312" w:cs="仿宋_GB2312"/>
          <w:kern w:val="0"/>
          <w:sz w:val="32"/>
          <w:szCs w:val="32"/>
        </w:rPr>
        <w:t>万元，支出</w:t>
      </w:r>
      <w:r>
        <w:rPr>
          <w:rFonts w:hint="default" w:ascii="仿宋_GB2312" w:hAnsi="宋体" w:eastAsia="仿宋_GB2312" w:cs="仿宋_GB2312"/>
          <w:kern w:val="0"/>
          <w:sz w:val="32"/>
          <w:szCs w:val="32"/>
        </w:rPr>
        <w:t>4,699.95</w:t>
      </w:r>
      <w:r>
        <w:rPr>
          <w:rFonts w:hint="default" w:ascii="仿宋_GB2312" w:hAnsi="ˎ̥" w:eastAsia="仿宋_GB2312" w:cs="仿宋_GB2312"/>
          <w:kern w:val="0"/>
          <w:sz w:val="32"/>
          <w:szCs w:val="32"/>
        </w:rPr>
        <w:t>万元。与2021年度相比，财政拨款收入、支出各增加1036.93万元，增长28.31%。主要原因：预算项目资金增加。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财政拨款年初结转结余</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万元，与2021年度决算数持平，主要原因是没有财政拨款年初结转结余。</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财政拨款年末结转结余</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万元，与2021年度年末决算数持平，主要原因是没有财政拨款年末结转结余。</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（注：2022年度决算相关数据可取自财决公开04表。2021年度决算相关数据可取自2021年度部门决算报表财决01-1表《财政拨款收入支出决算总表》）</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五、一般公共预算财政拨款支出决算情况说明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（一）一般公共预算财政拨款支出决算总体情况。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2022年度一般公共预算财政拨款支出</w:t>
      </w:r>
      <w:r>
        <w:rPr>
          <w:rFonts w:hint="default" w:ascii="仿宋_GB2312" w:hAnsi="宋体" w:eastAsia="仿宋_GB2312" w:cs="仿宋_GB2312"/>
          <w:kern w:val="0"/>
          <w:sz w:val="32"/>
          <w:szCs w:val="32"/>
        </w:rPr>
        <w:t>3,495.96</w:t>
      </w:r>
      <w:r>
        <w:rPr>
          <w:rFonts w:hint="default" w:ascii="仿宋_GB2312" w:hAnsi="ˎ̥" w:eastAsia="仿宋_GB2312" w:cs="仿宋_GB2312"/>
          <w:kern w:val="0"/>
          <w:sz w:val="32"/>
          <w:szCs w:val="32"/>
        </w:rPr>
        <w:t>万元，占本年支出合计的74.38%。与2021年度相比，一般公共预算财政拨款支出增加456.90万元，增长15.03%，主要原因是一般公共预算财政拨款预算项目资金增加。</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（二）一般公共预算财政拨款支出决算结构情况。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宋体"/>
          <w:kern w:val="0"/>
          <w:sz w:val="32"/>
          <w:szCs w:val="32"/>
        </w:rPr>
      </w:pPr>
      <w:r>
        <w:rPr>
          <w:rFonts w:hint="default" w:ascii="仿宋_GB2312" w:hAnsi="ˎ̥" w:eastAsia="仿宋_GB2312" w:cs="仿宋_GB2312"/>
          <w:kern w:val="0"/>
          <w:sz w:val="32"/>
          <w:szCs w:val="32"/>
        </w:rPr>
        <w:t>2022年度一般公共预算财政拨款支出</w:t>
      </w:r>
      <w:r>
        <w:rPr>
          <w:rFonts w:hint="default" w:ascii="仿宋_GB2312" w:hAnsi="宋体" w:eastAsia="仿宋_GB2312" w:cs="仿宋_GB2312"/>
          <w:kern w:val="0"/>
          <w:sz w:val="32"/>
          <w:szCs w:val="32"/>
        </w:rPr>
        <w:t>3,495.96</w:t>
      </w:r>
      <w:r>
        <w:rPr>
          <w:rFonts w:hint="default" w:ascii="仿宋_GB2312" w:hAnsi="ˎ̥" w:eastAsia="仿宋_GB2312" w:cs="仿宋_GB2312"/>
          <w:kern w:val="0"/>
          <w:sz w:val="32"/>
          <w:szCs w:val="32"/>
        </w:rPr>
        <w:t>万元，主要用于以下方面：</w:t>
      </w:r>
      <w:r>
        <w:rPr>
          <w:rFonts w:hint="default" w:ascii="仿宋_GB2312" w:hAnsi="ˎ̥" w:eastAsia="仿宋_GB2312" w:cs="仿宋_GB2312"/>
          <w:b/>
          <w:kern w:val="0"/>
          <w:sz w:val="32"/>
          <w:szCs w:val="32"/>
        </w:rPr>
        <w:t>社会保障和就业（类）</w:t>
      </w:r>
      <w:r>
        <w:rPr>
          <w:rFonts w:hint="default" w:ascii="仿宋_GB2312" w:hAnsi="ˎ̥" w:eastAsia="仿宋_GB2312" w:cs="仿宋_GB2312"/>
          <w:kern w:val="0"/>
          <w:sz w:val="32"/>
          <w:szCs w:val="32"/>
        </w:rPr>
        <w:t>支出214.02万元，占</w:t>
      </w:r>
      <w:r>
        <w:rPr>
          <w:rFonts w:hint="default" w:ascii="仿宋_GB2312" w:hAnsi="ˎ̥" w:eastAsia="仿宋_GB2312" w:cs="宋体"/>
          <w:kern w:val="0"/>
          <w:sz w:val="32"/>
          <w:szCs w:val="32"/>
        </w:rPr>
        <w:t>6.12%；</w:t>
      </w:r>
      <w:r>
        <w:rPr>
          <w:rFonts w:hint="default" w:ascii="仿宋_GB2312" w:hAnsi="ˎ̥" w:eastAsia="仿宋_GB2312" w:cs="仿宋_GB2312"/>
          <w:b/>
          <w:kern w:val="0"/>
          <w:sz w:val="32"/>
          <w:szCs w:val="32"/>
        </w:rPr>
        <w:t>卫生健康（类）</w:t>
      </w:r>
      <w:r>
        <w:rPr>
          <w:rFonts w:hint="default" w:ascii="仿宋_GB2312" w:hAnsi="ˎ̥" w:eastAsia="仿宋_GB2312" w:cs="仿宋_GB2312"/>
          <w:kern w:val="0"/>
          <w:sz w:val="32"/>
          <w:szCs w:val="32"/>
        </w:rPr>
        <w:t>支出</w:t>
      </w:r>
      <w:r>
        <w:rPr>
          <w:rFonts w:hint="default" w:ascii="仿宋_GB2312" w:hAnsi="ˎ̥" w:eastAsia="仿宋_GB2312" w:cs="宋体"/>
          <w:kern w:val="0"/>
          <w:sz w:val="32"/>
          <w:szCs w:val="32"/>
        </w:rPr>
        <w:t>147.33万元，占4.21%；</w:t>
      </w:r>
      <w:r>
        <w:rPr>
          <w:rFonts w:hint="default" w:ascii="仿宋_GB2312" w:hAnsi="ˎ̥" w:eastAsia="仿宋_GB2312" w:cs="仿宋_GB2312"/>
          <w:b/>
          <w:kern w:val="0"/>
          <w:sz w:val="32"/>
          <w:szCs w:val="32"/>
        </w:rPr>
        <w:t>城乡社区（类）</w:t>
      </w:r>
      <w:r>
        <w:rPr>
          <w:rFonts w:hint="default" w:ascii="仿宋_GB2312" w:hAnsi="ˎ̥" w:eastAsia="仿宋_GB2312" w:cs="仿宋_GB2312"/>
          <w:kern w:val="0"/>
          <w:sz w:val="32"/>
          <w:szCs w:val="32"/>
        </w:rPr>
        <w:t>支出</w:t>
      </w:r>
      <w:r>
        <w:rPr>
          <w:rFonts w:hint="default" w:ascii="仿宋_GB2312" w:hAnsi="ˎ̥" w:eastAsia="仿宋_GB2312" w:cs="宋体"/>
          <w:kern w:val="0"/>
          <w:sz w:val="32"/>
          <w:szCs w:val="32"/>
        </w:rPr>
        <w:t>347.41万元，占9.94%；</w:t>
      </w:r>
      <w:r>
        <w:rPr>
          <w:rFonts w:hint="default" w:ascii="仿宋_GB2312" w:hAnsi="ˎ̥" w:eastAsia="仿宋_GB2312" w:cs="仿宋_GB2312"/>
          <w:b/>
          <w:kern w:val="0"/>
          <w:sz w:val="32"/>
          <w:szCs w:val="32"/>
        </w:rPr>
        <w:t>住房保障（类）</w:t>
      </w:r>
      <w:r>
        <w:rPr>
          <w:rFonts w:hint="default" w:ascii="仿宋_GB2312" w:hAnsi="ˎ̥" w:eastAsia="仿宋_GB2312" w:cs="仿宋_GB2312"/>
          <w:kern w:val="0"/>
          <w:sz w:val="32"/>
          <w:szCs w:val="32"/>
        </w:rPr>
        <w:t>支出</w:t>
      </w:r>
      <w:r>
        <w:rPr>
          <w:rFonts w:hint="default" w:ascii="仿宋_GB2312" w:hAnsi="ˎ̥" w:eastAsia="仿宋_GB2312" w:cs="宋体"/>
          <w:kern w:val="0"/>
          <w:sz w:val="32"/>
          <w:szCs w:val="32"/>
        </w:rPr>
        <w:t>102.21万元，占2.92%；</w:t>
      </w:r>
      <w:r>
        <w:rPr>
          <w:rFonts w:hint="default" w:ascii="仿宋_GB2312" w:hAnsi="ˎ̥" w:eastAsia="仿宋_GB2312" w:cs="仿宋_GB2312"/>
          <w:b/>
          <w:kern w:val="0"/>
          <w:sz w:val="32"/>
          <w:szCs w:val="32"/>
        </w:rPr>
        <w:t>灾害防治及应急管理（类）</w:t>
      </w:r>
      <w:r>
        <w:rPr>
          <w:rFonts w:hint="default" w:ascii="仿宋_GB2312" w:hAnsi="ˎ̥" w:eastAsia="仿宋_GB2312" w:cs="仿宋_GB2312"/>
          <w:kern w:val="0"/>
          <w:sz w:val="32"/>
          <w:szCs w:val="32"/>
        </w:rPr>
        <w:t>支出</w:t>
      </w:r>
      <w:r>
        <w:rPr>
          <w:rFonts w:hint="default" w:ascii="仿宋_GB2312" w:hAnsi="ˎ̥" w:eastAsia="仿宋_GB2312" w:cs="宋体"/>
          <w:kern w:val="0"/>
          <w:sz w:val="32"/>
          <w:szCs w:val="32"/>
        </w:rPr>
        <w:t>2685万元，占76.81%。</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（注：根据各单位实际支出涉及的支出功能分类类级科目填列）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（三）一般公共预算财政拨款支出决算具体情况。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2022年度一般公共预算财政拨款支出年初预算为2580.04万元，支出决算为</w:t>
      </w:r>
      <w:r>
        <w:rPr>
          <w:rFonts w:hint="default" w:ascii="仿宋_GB2312" w:hAnsi="宋体" w:eastAsia="仿宋_GB2312" w:cs="仿宋_GB2312"/>
          <w:kern w:val="0"/>
          <w:sz w:val="32"/>
          <w:szCs w:val="32"/>
        </w:rPr>
        <w:t>3,495.96</w:t>
      </w:r>
      <w:r>
        <w:rPr>
          <w:rFonts w:hint="default" w:ascii="仿宋_GB2312" w:hAnsi="ˎ̥" w:eastAsia="仿宋_GB2312" w:cs="仿宋_GB2312"/>
          <w:kern w:val="0"/>
          <w:sz w:val="32"/>
          <w:szCs w:val="32"/>
        </w:rPr>
        <w:t>万元，完成年初预算的100%。其中：</w:t>
      </w:r>
    </w:p>
    <w:p>
      <w:pPr>
        <w:keepNext w:val="0"/>
        <w:keepLines w:val="0"/>
        <w:widowControl/>
        <w:suppressLineNumbers w:val="0"/>
        <w:spacing w:line="560" w:lineRule="exact"/>
        <w:ind w:left="0" w:firstLine="640" w:firstLineChars="200"/>
        <w:rPr>
          <w:rFonts w:hint="eastAsia" w:ascii="宋体" w:hAnsi="宋体" w:eastAsia="宋体" w:cs="宋体"/>
          <w:kern w:val="0"/>
          <w:sz w:val="24"/>
          <w:szCs w:val="24"/>
        </w:rPr>
      </w:pPr>
      <w:r>
        <w:rPr>
          <w:rFonts w:hint="default" w:ascii="仿宋_GB2312" w:hAnsi="ˎ̥" w:eastAsia="仿宋_GB2312" w:cs="仿宋_GB2312"/>
          <w:kern w:val="0"/>
          <w:sz w:val="32"/>
          <w:szCs w:val="32"/>
        </w:rPr>
        <w:t>1.</w:t>
      </w:r>
      <w:r>
        <w:rPr>
          <w:rFonts w:hint="default" w:ascii="仿宋_GB2312" w:hAnsi="ˎ̥" w:eastAsia="仿宋_GB2312" w:cs="仿宋_GB2312"/>
          <w:b/>
          <w:kern w:val="0"/>
          <w:sz w:val="32"/>
          <w:szCs w:val="32"/>
        </w:rPr>
        <w:t>社会保障和就业支出（类）行政事业单位养老支出（款）机关事业单位基本养老保险缴费支出（项）。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126.47</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112.2万元，完成年初预算88.72%。决算数小于预算数的主要原因是由于人员调动</w:t>
      </w:r>
      <w:r>
        <w:rPr>
          <w:rFonts w:hint="default" w:ascii="仿宋_GB2312" w:hAnsi="ˎ̥" w:eastAsia="仿宋_GB2312" w:cs="仿宋_GB2312"/>
          <w:kern w:val="0"/>
          <w:sz w:val="32"/>
          <w:szCs w:val="32"/>
        </w:rPr>
        <w:t>、退休原因</w:t>
      </w:r>
      <w:r>
        <w:rPr>
          <w:rFonts w:hint="default" w:ascii="仿宋_GB2312" w:hAnsi="ˎ̥" w:eastAsia="仿宋_GB2312" w:cs="仿宋_GB2312"/>
          <w:kern w:val="0"/>
          <w:sz w:val="32"/>
          <w:szCs w:val="32"/>
          <w:shd w:val="clear" w:fill="FFFFFF"/>
        </w:rPr>
        <w:t>部份预算项目没有完成。</w:t>
      </w:r>
      <w:r>
        <w:rPr>
          <w:rFonts w:hint="default" w:ascii="仿宋_GB2312" w:hAnsi="ˎ̥" w:eastAsia="仿宋_GB2312" w:cs="仿宋_GB2312"/>
          <w:b/>
          <w:kern w:val="0"/>
          <w:sz w:val="32"/>
          <w:szCs w:val="32"/>
        </w:rPr>
        <w:t>社会保障和就业支出（类）行政事业单位养老支出（款）</w:t>
      </w:r>
      <w:r>
        <w:rPr>
          <w:rFonts w:hint="default" w:ascii="仿宋_GB2312" w:hAnsi="ˎ̥" w:eastAsia="仿宋_GB2312" w:cs="仿宋_GB2312"/>
          <w:b/>
          <w:kern w:val="0"/>
          <w:sz w:val="32"/>
          <w:szCs w:val="32"/>
          <w:shd w:val="clear" w:fill="FFFFFF"/>
        </w:rPr>
        <w:t>机关事业单位职业年金缴费支出</w:t>
      </w:r>
      <w:r>
        <w:rPr>
          <w:rFonts w:hint="default" w:ascii="仿宋_GB2312" w:hAnsi="ˎ̥" w:eastAsia="仿宋_GB2312" w:cs="仿宋_GB2312"/>
          <w:b/>
          <w:kern w:val="0"/>
          <w:sz w:val="32"/>
          <w:szCs w:val="32"/>
        </w:rPr>
        <w:t>（项）。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29.05万元，完成年初预算100%。决算数</w:t>
      </w:r>
      <w:r>
        <w:rPr>
          <w:rFonts w:hint="default" w:ascii="仿宋_GB2312" w:hAnsi="ˎ̥" w:eastAsia="仿宋_GB2312" w:cs="仿宋_GB2312"/>
          <w:kern w:val="0"/>
          <w:sz w:val="32"/>
          <w:szCs w:val="32"/>
        </w:rPr>
        <w:t>大于预算数的主要原因是由于人员退休向财政打报告追加职业年金费用</w:t>
      </w:r>
      <w:r>
        <w:rPr>
          <w:rFonts w:hint="default" w:ascii="仿宋_GB2312" w:hAnsi="ˎ̥" w:eastAsia="仿宋_GB2312" w:cs="仿宋_GB2312"/>
          <w:kern w:val="0"/>
          <w:sz w:val="32"/>
          <w:szCs w:val="32"/>
          <w:shd w:val="clear" w:fill="FFFFFF"/>
        </w:rPr>
        <w:t>。</w:t>
      </w:r>
      <w:r>
        <w:rPr>
          <w:rFonts w:hint="default" w:ascii="仿宋_GB2312" w:hAnsi="ˎ̥" w:eastAsia="仿宋_GB2312" w:cs="仿宋_GB2312"/>
          <w:b/>
          <w:kern w:val="0"/>
          <w:sz w:val="32"/>
          <w:szCs w:val="32"/>
        </w:rPr>
        <w:t>社会保障和就业支出（类）行政事业单位养老支出（款）其他行政事业单位养老支出（项）。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32.81万元，支出决算为31.84万元，完成年初预算97.04%。决算数小于预算数的主要原因是人员调动，</w:t>
      </w:r>
      <w:r>
        <w:rPr>
          <w:rFonts w:hint="default" w:ascii="仿宋_GB2312" w:hAnsi="ˎ̥" w:eastAsia="仿宋_GB2312" w:cs="仿宋_GB2312"/>
          <w:kern w:val="0"/>
          <w:sz w:val="32"/>
          <w:szCs w:val="32"/>
          <w:shd w:val="clear" w:fill="FFFFFF"/>
        </w:rPr>
        <w:t>部份预算项目没有完成。</w:t>
      </w:r>
      <w:r>
        <w:rPr>
          <w:rFonts w:hint="default" w:ascii="仿宋_GB2312" w:hAnsi="ˎ̥" w:eastAsia="仿宋_GB2312" w:cs="仿宋_GB2312"/>
          <w:b/>
          <w:kern w:val="0"/>
          <w:sz w:val="32"/>
          <w:szCs w:val="32"/>
        </w:rPr>
        <w:t>社会保障和就业支出（类）抚恤（款）死亡抚恤（项）。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37.92万元，完成年初预算100%</w:t>
      </w:r>
      <w:r>
        <w:rPr>
          <w:rFonts w:hint="default" w:ascii="仿宋_GB2312" w:hAnsi="ˎ̥" w:eastAsia="仿宋_GB2312" w:cs="仿宋_GB2312"/>
          <w:kern w:val="0"/>
          <w:sz w:val="32"/>
          <w:szCs w:val="32"/>
        </w:rPr>
        <w:t>，决算数大于预算数的主要原因是由于退休人员死亡向财政打报告追加抚恤金。</w:t>
      </w:r>
      <w:r>
        <w:rPr>
          <w:rFonts w:hint="default" w:ascii="仿宋_GB2312" w:hAnsi="ˎ̥" w:eastAsia="仿宋_GB2312" w:cs="仿宋_GB2312"/>
          <w:b/>
          <w:kern w:val="0"/>
          <w:sz w:val="32"/>
          <w:szCs w:val="32"/>
        </w:rPr>
        <w:t>社会保障和就业支出（类）抚恤（款）其他优抚支出（项）。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3.46万元，支出决算为3.01万元，完成年初预算86.99%</w:t>
      </w:r>
      <w:r>
        <w:rPr>
          <w:rFonts w:hint="default" w:ascii="仿宋_GB2312" w:hAnsi="ˎ̥" w:eastAsia="仿宋_GB2312" w:cs="仿宋_GB2312"/>
          <w:kern w:val="0"/>
          <w:sz w:val="32"/>
          <w:szCs w:val="32"/>
        </w:rPr>
        <w:t>，决算数小于预算数的主要原因是抚恤金标准变动，</w:t>
      </w:r>
      <w:r>
        <w:rPr>
          <w:rFonts w:hint="default" w:ascii="仿宋_GB2312" w:hAnsi="ˎ̥" w:eastAsia="仿宋_GB2312" w:cs="仿宋_GB2312"/>
          <w:kern w:val="0"/>
          <w:sz w:val="32"/>
          <w:szCs w:val="32"/>
          <w:shd w:val="clear" w:fill="FFFFFF"/>
        </w:rPr>
        <w:t>部份预算项目没有完成</w:t>
      </w:r>
      <w:r>
        <w:rPr>
          <w:rFonts w:hint="default" w:ascii="仿宋_GB2312" w:hAnsi="ˎ̥" w:eastAsia="仿宋_GB2312" w:cs="仿宋_GB2312"/>
          <w:kern w:val="0"/>
          <w:sz w:val="32"/>
          <w:szCs w:val="32"/>
        </w:rPr>
        <w:t>。</w:t>
      </w:r>
    </w:p>
    <w:p>
      <w:pPr>
        <w:keepNext w:val="0"/>
        <w:keepLines w:val="0"/>
        <w:widowControl/>
        <w:suppressLineNumbers w:val="0"/>
        <w:spacing w:line="560" w:lineRule="exact"/>
        <w:ind w:left="0" w:firstLine="640" w:firstLineChars="200"/>
        <w:rPr>
          <w:rFonts w:hint="default" w:ascii="仿宋_GB2312" w:hAnsi="ˎ̥" w:eastAsia="仿宋_GB2312" w:cs="宋体"/>
          <w:kern w:val="0"/>
          <w:sz w:val="32"/>
          <w:szCs w:val="32"/>
        </w:rPr>
      </w:pPr>
      <w:r>
        <w:rPr>
          <w:rFonts w:hint="default" w:ascii="仿宋_GB2312" w:hAnsi="ˎ̥" w:eastAsia="仿宋_GB2312" w:cs="宋体"/>
          <w:kern w:val="0"/>
          <w:sz w:val="32"/>
          <w:szCs w:val="32"/>
        </w:rPr>
        <w:t>2.</w:t>
      </w:r>
      <w:r>
        <w:rPr>
          <w:rFonts w:hint="default" w:ascii="仿宋_GB2312" w:hAnsi="ˎ̥" w:eastAsia="仿宋_GB2312" w:cs="仿宋_GB2312"/>
          <w:b/>
          <w:kern w:val="0"/>
          <w:sz w:val="32"/>
          <w:szCs w:val="32"/>
        </w:rPr>
        <w:t>卫生健康支出（类）行政事业单位医疗（款）行政单位医疗（项）。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67.19万元，支出决算为50.07万元，完成年初预算74.52%</w:t>
      </w:r>
      <w:r>
        <w:rPr>
          <w:rFonts w:hint="default" w:ascii="仿宋_GB2312" w:hAnsi="ˎ̥" w:eastAsia="仿宋_GB2312" w:cs="仿宋_GB2312"/>
          <w:kern w:val="0"/>
          <w:sz w:val="32"/>
          <w:szCs w:val="32"/>
        </w:rPr>
        <w:t>，决算数小于预算数的主要原因是由于人员调动、退休原因</w:t>
      </w:r>
      <w:r>
        <w:rPr>
          <w:rFonts w:hint="default" w:ascii="仿宋_GB2312" w:hAnsi="ˎ̥" w:eastAsia="仿宋_GB2312" w:cs="仿宋_GB2312"/>
          <w:kern w:val="0"/>
          <w:sz w:val="32"/>
          <w:szCs w:val="32"/>
          <w:shd w:val="clear" w:fill="FFFFFF"/>
        </w:rPr>
        <w:t>部份预算项目没有完成</w:t>
      </w:r>
      <w:r>
        <w:rPr>
          <w:rFonts w:hint="default" w:ascii="仿宋_GB2312" w:hAnsi="ˎ̥" w:eastAsia="仿宋_GB2312" w:cs="仿宋_GB2312"/>
          <w:kern w:val="0"/>
          <w:sz w:val="32"/>
          <w:szCs w:val="32"/>
        </w:rPr>
        <w:t>。</w:t>
      </w:r>
      <w:r>
        <w:rPr>
          <w:rFonts w:hint="default" w:ascii="仿宋_GB2312" w:hAnsi="ˎ̥" w:eastAsia="仿宋_GB2312" w:cs="仿宋_GB2312"/>
          <w:b/>
          <w:kern w:val="0"/>
          <w:sz w:val="32"/>
          <w:szCs w:val="32"/>
        </w:rPr>
        <w:t>卫生健康支出（类）行政事业单位医疗（款）公务员医疗补助（项）。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69.69万元，支出决算为92.78万元，完成年初预算100%</w:t>
      </w:r>
      <w:r>
        <w:rPr>
          <w:rFonts w:hint="default" w:ascii="仿宋_GB2312" w:hAnsi="ˎ̥" w:eastAsia="仿宋_GB2312" w:cs="仿宋_GB2312"/>
          <w:kern w:val="0"/>
          <w:sz w:val="32"/>
          <w:szCs w:val="32"/>
        </w:rPr>
        <w:t>，决算数大于预算数的主要原因是工资标准、人员调整，向财政追加预算。</w:t>
      </w:r>
      <w:r>
        <w:rPr>
          <w:rFonts w:hint="default" w:ascii="仿宋_GB2312" w:hAnsi="ˎ̥" w:eastAsia="仿宋_GB2312" w:cs="仿宋_GB2312"/>
          <w:b/>
          <w:kern w:val="0"/>
          <w:sz w:val="32"/>
          <w:szCs w:val="32"/>
        </w:rPr>
        <w:t>卫生健康支出（类）行政事业单位医疗（款）其他行政事业单位医疗支出（项）。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5.98</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4.48万元，完成年初预算74.92%</w:t>
      </w:r>
      <w:r>
        <w:rPr>
          <w:rFonts w:hint="default" w:ascii="仿宋_GB2312" w:hAnsi="ˎ̥" w:eastAsia="仿宋_GB2312" w:cs="仿宋_GB2312"/>
          <w:kern w:val="0"/>
          <w:sz w:val="32"/>
          <w:szCs w:val="32"/>
        </w:rPr>
        <w:t>，决算数小于预算数的主要原因是由于退休原因</w:t>
      </w:r>
      <w:r>
        <w:rPr>
          <w:rFonts w:hint="default" w:ascii="仿宋_GB2312" w:hAnsi="ˎ̥" w:eastAsia="仿宋_GB2312" w:cs="仿宋_GB2312"/>
          <w:kern w:val="0"/>
          <w:sz w:val="32"/>
          <w:szCs w:val="32"/>
          <w:shd w:val="clear" w:fill="FFFFFF"/>
        </w:rPr>
        <w:t>部份预算项目没有完成</w:t>
      </w:r>
      <w:r>
        <w:rPr>
          <w:rFonts w:hint="default" w:ascii="仿宋_GB2312" w:hAnsi="ˎ̥" w:eastAsia="仿宋_GB2312" w:cs="仿宋_GB2312"/>
          <w:kern w:val="0"/>
          <w:sz w:val="32"/>
          <w:szCs w:val="32"/>
        </w:rPr>
        <w:t>。</w:t>
      </w:r>
    </w:p>
    <w:p>
      <w:pPr>
        <w:keepNext w:val="0"/>
        <w:keepLines w:val="0"/>
        <w:widowControl/>
        <w:suppressLineNumbers w:val="0"/>
        <w:spacing w:line="560" w:lineRule="exact"/>
        <w:ind w:left="0" w:firstLine="643" w:firstLineChars="200"/>
        <w:rPr>
          <w:rFonts w:hint="default" w:ascii="仿宋_GB2312" w:hAnsi="ˎ̥" w:eastAsia="仿宋_GB2312" w:cs="宋体"/>
          <w:kern w:val="0"/>
          <w:sz w:val="32"/>
          <w:szCs w:val="32"/>
        </w:rPr>
      </w:pPr>
      <w:r>
        <w:rPr>
          <w:rFonts w:hint="default" w:ascii="仿宋_GB2312" w:hAnsi="ˎ̥" w:eastAsia="仿宋_GB2312" w:cs="宋体"/>
          <w:b/>
          <w:kern w:val="0"/>
          <w:sz w:val="32"/>
          <w:szCs w:val="32"/>
        </w:rPr>
        <w:t>3.城乡社区</w:t>
      </w:r>
      <w:r>
        <w:rPr>
          <w:rFonts w:hint="default" w:ascii="仿宋_GB2312" w:hAnsi="ˎ̥" w:eastAsia="仿宋_GB2312" w:cs="仿宋_GB2312"/>
          <w:b/>
          <w:kern w:val="0"/>
          <w:sz w:val="32"/>
          <w:szCs w:val="32"/>
        </w:rPr>
        <w:t>支出（类）城乡社区管理事务（款）其他城乡社区管理事务支出（项）。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347.41万元，完成年初预算100%</w:t>
      </w:r>
      <w:r>
        <w:rPr>
          <w:rFonts w:hint="default" w:ascii="仿宋_GB2312" w:hAnsi="ˎ̥" w:eastAsia="仿宋_GB2312" w:cs="仿宋_GB2312"/>
          <w:kern w:val="0"/>
          <w:sz w:val="32"/>
          <w:szCs w:val="32"/>
        </w:rPr>
        <w:t>，决算数大于预算数的主要原因是项目调整，向财政追加预算。</w:t>
      </w:r>
    </w:p>
    <w:p>
      <w:pPr>
        <w:keepNext w:val="0"/>
        <w:keepLines w:val="0"/>
        <w:widowControl/>
        <w:suppressLineNumbers w:val="0"/>
        <w:spacing w:line="560" w:lineRule="exact"/>
        <w:ind w:left="0" w:firstLine="643" w:firstLineChars="200"/>
        <w:rPr>
          <w:rFonts w:hint="default" w:ascii="仿宋_GB2312" w:hAnsi="ˎ̥" w:eastAsia="仿宋_GB2312" w:cs="宋体"/>
          <w:kern w:val="0"/>
          <w:sz w:val="32"/>
          <w:szCs w:val="32"/>
        </w:rPr>
      </w:pPr>
      <w:r>
        <w:rPr>
          <w:rFonts w:hint="default" w:ascii="仿宋_GB2312" w:hAnsi="ˎ̥" w:eastAsia="仿宋_GB2312" w:cs="宋体"/>
          <w:b/>
          <w:kern w:val="0"/>
          <w:sz w:val="32"/>
          <w:szCs w:val="32"/>
        </w:rPr>
        <w:t>4.</w:t>
      </w:r>
      <w:r>
        <w:rPr>
          <w:rFonts w:hint="default" w:ascii="仿宋_GB2312" w:hAnsi="ˎ̥" w:eastAsia="仿宋_GB2312" w:cs="仿宋_GB2312"/>
          <w:b/>
          <w:kern w:val="0"/>
          <w:sz w:val="32"/>
          <w:szCs w:val="32"/>
        </w:rPr>
        <w:t>住房保障支出（类）住房改革支出（款）住房公积金（项）。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83.63万元，支出决算为102.21万元，完成年初预算100%</w:t>
      </w:r>
      <w:r>
        <w:rPr>
          <w:rFonts w:hint="default" w:ascii="仿宋_GB2312" w:hAnsi="ˎ̥" w:eastAsia="仿宋_GB2312" w:cs="仿宋_GB2312"/>
          <w:kern w:val="0"/>
          <w:sz w:val="32"/>
          <w:szCs w:val="32"/>
        </w:rPr>
        <w:t>，决算数大于预算数的主要原因是工资标准、人员调整，向财政追加预算。</w:t>
      </w:r>
    </w:p>
    <w:p>
      <w:pPr>
        <w:keepNext w:val="0"/>
        <w:keepLines w:val="0"/>
        <w:widowControl/>
        <w:suppressLineNumbers w:val="0"/>
        <w:spacing w:line="560" w:lineRule="exact"/>
        <w:ind w:left="0" w:firstLine="640" w:firstLineChars="200"/>
        <w:rPr>
          <w:rFonts w:hint="default" w:ascii="仿宋_GB2312" w:hAnsi="ˎ̥" w:eastAsia="仿宋_GB2312" w:cs="仿宋_GB2312"/>
          <w:kern w:val="0"/>
          <w:sz w:val="32"/>
          <w:szCs w:val="32"/>
        </w:rPr>
      </w:pPr>
      <w:r>
        <w:rPr>
          <w:rFonts w:hint="default" w:ascii="仿宋_GB2312" w:hAnsi="ˎ̥" w:eastAsia="仿宋_GB2312" w:cs="宋体"/>
          <w:kern w:val="0"/>
          <w:sz w:val="32"/>
          <w:szCs w:val="32"/>
        </w:rPr>
        <w:t>5.</w:t>
      </w:r>
      <w:r>
        <w:rPr>
          <w:rFonts w:hint="default" w:ascii="仿宋_GB2312" w:hAnsi="ˎ̥" w:eastAsia="仿宋_GB2312" w:cs="仿宋_GB2312"/>
          <w:b/>
          <w:kern w:val="0"/>
          <w:sz w:val="32"/>
          <w:szCs w:val="32"/>
        </w:rPr>
        <w:t>灾害防治及应急管理支出（类）应急管理事务（款）行政运行（项）。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1120.31万元，支出决算为1154.57万元，完成年初预算100%</w:t>
      </w:r>
      <w:r>
        <w:rPr>
          <w:rFonts w:hint="default" w:ascii="仿宋_GB2312" w:hAnsi="ˎ̥" w:eastAsia="仿宋_GB2312" w:cs="仿宋_GB2312"/>
          <w:kern w:val="0"/>
          <w:sz w:val="32"/>
          <w:szCs w:val="32"/>
        </w:rPr>
        <w:t>，决算数大于预算数的主要原因是调整支付</w:t>
      </w:r>
      <w:r>
        <w:rPr>
          <w:rFonts w:hint="default" w:ascii="仿宋_GB2312" w:hAnsi="ˎ̥" w:eastAsia="仿宋_GB2312" w:cs="仿宋_GB2312"/>
          <w:kern w:val="0"/>
          <w:sz w:val="32"/>
          <w:szCs w:val="32"/>
          <w:shd w:val="clear" w:fill="FFFFFF"/>
        </w:rPr>
        <w:t>预算项目</w:t>
      </w:r>
      <w:r>
        <w:rPr>
          <w:rFonts w:hint="default" w:ascii="仿宋_GB2312" w:hAnsi="ˎ̥" w:eastAsia="仿宋_GB2312" w:cs="仿宋_GB2312"/>
          <w:kern w:val="0"/>
          <w:sz w:val="32"/>
          <w:szCs w:val="32"/>
        </w:rPr>
        <w:t>。</w:t>
      </w:r>
      <w:r>
        <w:rPr>
          <w:rFonts w:hint="default" w:ascii="仿宋_GB2312" w:hAnsi="ˎ̥" w:eastAsia="仿宋_GB2312" w:cs="仿宋_GB2312"/>
          <w:b/>
          <w:kern w:val="0"/>
          <w:sz w:val="32"/>
          <w:szCs w:val="32"/>
        </w:rPr>
        <w:t>灾害防治及应急管理支出（类）应急管理事务（款）一般行政管理事务（项）。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700.8万元，支出决算为697.51万元，完成年初预算99.53%</w:t>
      </w:r>
      <w:r>
        <w:rPr>
          <w:rFonts w:hint="default" w:ascii="仿宋_GB2312" w:hAnsi="ˎ̥" w:eastAsia="仿宋_GB2312" w:cs="仿宋_GB2312"/>
          <w:kern w:val="0"/>
          <w:sz w:val="32"/>
          <w:szCs w:val="32"/>
        </w:rPr>
        <w:t>，决算数小于预算数的主要原因是</w:t>
      </w:r>
      <w:r>
        <w:rPr>
          <w:rFonts w:hint="default" w:ascii="仿宋_GB2312" w:hAnsi="ˎ̥" w:eastAsia="仿宋_GB2312" w:cs="仿宋_GB2312"/>
          <w:kern w:val="0"/>
          <w:sz w:val="32"/>
          <w:szCs w:val="32"/>
          <w:shd w:val="clear" w:fill="FFFFFF"/>
        </w:rPr>
        <w:t>部份预算项目的结余资金。</w:t>
      </w:r>
      <w:r>
        <w:rPr>
          <w:rFonts w:hint="default" w:ascii="仿宋_GB2312" w:hAnsi="ˎ̥" w:eastAsia="仿宋_GB2312" w:cs="仿宋_GB2312"/>
          <w:b/>
          <w:kern w:val="0"/>
          <w:sz w:val="32"/>
          <w:szCs w:val="32"/>
        </w:rPr>
        <w:t>灾害防治及应急管理支出（类）应急管理事务（款）灾害风险防治（项）。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w:t>
      </w:r>
      <w:r>
        <w:rPr>
          <w:rFonts w:hint="default" w:ascii="仿宋_GB2312" w:hAnsi="ˎ̥" w:eastAsia="仿宋_GB2312" w:cs="仿宋_GB2312"/>
          <w:kern w:val="0"/>
          <w:sz w:val="32"/>
          <w:szCs w:val="32"/>
        </w:rPr>
        <w:t>万元，支出决算为</w:t>
      </w:r>
      <w:r>
        <w:rPr>
          <w:rFonts w:hint="default" w:ascii="仿宋_GB2312" w:hAnsi="ˎ̥" w:eastAsia="仿宋_GB2312" w:cs="宋体"/>
          <w:kern w:val="0"/>
          <w:sz w:val="32"/>
          <w:szCs w:val="32"/>
        </w:rPr>
        <w:t>281.72万元，完成年初预算100%</w:t>
      </w:r>
      <w:r>
        <w:rPr>
          <w:rFonts w:hint="default" w:ascii="仿宋_GB2312" w:hAnsi="ˎ̥" w:eastAsia="仿宋_GB2312" w:cs="仿宋_GB2312"/>
          <w:kern w:val="0"/>
          <w:sz w:val="32"/>
          <w:szCs w:val="32"/>
        </w:rPr>
        <w:t>，决算数大于预算数的主要原因是向财政追加</w:t>
      </w:r>
      <w:r>
        <w:rPr>
          <w:rFonts w:hint="default" w:ascii="仿宋_GB2312" w:hAnsi="ˎ̥" w:eastAsia="仿宋_GB2312" w:cs="仿宋_GB2312"/>
          <w:kern w:val="0"/>
          <w:sz w:val="32"/>
          <w:szCs w:val="32"/>
          <w:shd w:val="clear" w:fill="FFFFFF"/>
        </w:rPr>
        <w:t>预算项目</w:t>
      </w:r>
      <w:r>
        <w:rPr>
          <w:rFonts w:hint="default" w:ascii="仿宋_GB2312" w:hAnsi="ˎ̥" w:eastAsia="仿宋_GB2312" w:cs="仿宋_GB2312"/>
          <w:kern w:val="0"/>
          <w:sz w:val="32"/>
          <w:szCs w:val="32"/>
        </w:rPr>
        <w:t>。</w:t>
      </w:r>
      <w:r>
        <w:rPr>
          <w:rFonts w:hint="default" w:ascii="仿宋_GB2312" w:hAnsi="ˎ̥" w:eastAsia="仿宋_GB2312" w:cs="仿宋_GB2312"/>
          <w:b/>
          <w:kern w:val="0"/>
          <w:sz w:val="32"/>
          <w:szCs w:val="32"/>
        </w:rPr>
        <w:t>灾害防治及应急管理支出（类）应急管理事务（款）其他应急管理支出（项）。</w:t>
      </w: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369.72万元，支出决算为551.2万元，完成年初预算100%</w:t>
      </w:r>
      <w:r>
        <w:rPr>
          <w:rFonts w:hint="default" w:ascii="仿宋_GB2312" w:hAnsi="ˎ̥" w:eastAsia="仿宋_GB2312" w:cs="仿宋_GB2312"/>
          <w:kern w:val="0"/>
          <w:sz w:val="32"/>
          <w:szCs w:val="32"/>
        </w:rPr>
        <w:t>，决算数大于预算数的主要原因是向财政追加</w:t>
      </w:r>
      <w:r>
        <w:rPr>
          <w:rFonts w:hint="default" w:ascii="仿宋_GB2312" w:hAnsi="ˎ̥" w:eastAsia="仿宋_GB2312" w:cs="仿宋_GB2312"/>
          <w:kern w:val="0"/>
          <w:sz w:val="32"/>
          <w:szCs w:val="32"/>
          <w:shd w:val="clear" w:fill="FFFFFF"/>
        </w:rPr>
        <w:t>预算项目</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（注：本部分支出决算数字可取自财决公开05表，年初预算数可取自各单位年初预算大本，根据各部门实际支出涉及的支出功能分类项级科目填列）</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六、一般公共预算财政拨款基本支出决算情况说明。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2022年度财政拨款基本支出</w:t>
      </w:r>
      <w:r>
        <w:rPr>
          <w:rFonts w:hint="default" w:ascii="仿宋_GB2312" w:hAnsi="宋体" w:eastAsia="仿宋_GB2312" w:cs="仿宋_GB2312"/>
          <w:kern w:val="0"/>
          <w:sz w:val="32"/>
          <w:szCs w:val="32"/>
        </w:rPr>
        <w:t>1,618.12</w:t>
      </w:r>
      <w:r>
        <w:rPr>
          <w:rFonts w:hint="default" w:ascii="仿宋_GB2312" w:hAnsi="ˎ̥" w:eastAsia="仿宋_GB2312" w:cs="仿宋_GB2312"/>
          <w:kern w:val="0"/>
          <w:sz w:val="32"/>
          <w:szCs w:val="32"/>
        </w:rPr>
        <w:t>万元，其中：人员经费</w:t>
      </w:r>
      <w:r>
        <w:rPr>
          <w:rFonts w:hint="default" w:ascii="仿宋_GB2312" w:hAnsi="宋体" w:eastAsia="仿宋_GB2312" w:cs="仿宋_GB2312"/>
          <w:kern w:val="0"/>
          <w:sz w:val="32"/>
          <w:szCs w:val="32"/>
        </w:rPr>
        <w:t>1,382.50</w:t>
      </w:r>
      <w:r>
        <w:rPr>
          <w:rFonts w:hint="default" w:ascii="仿宋_GB2312" w:hAnsi="ˎ̥" w:eastAsia="仿宋_GB2312" w:cs="仿宋_GB2312"/>
          <w:kern w:val="0"/>
          <w:sz w:val="32"/>
          <w:szCs w:val="32"/>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default" w:ascii="仿宋_GB2312" w:hAnsi="宋体" w:eastAsia="仿宋_GB2312" w:cs="仿宋_GB2312"/>
          <w:kern w:val="0"/>
          <w:sz w:val="32"/>
          <w:szCs w:val="32"/>
        </w:rPr>
        <w:t>235.62</w:t>
      </w:r>
      <w:r>
        <w:rPr>
          <w:rFonts w:hint="default" w:ascii="仿宋_GB2312" w:hAnsi="ˎ̥" w:eastAsia="仿宋_GB2312" w:cs="仿宋_GB2312"/>
          <w:kern w:val="0"/>
          <w:sz w:val="32"/>
          <w:szCs w:val="32"/>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经常性赠予、资本性赠予和其他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（注：上述数字可取自财决公开06表，各单位根据实际支出情况，选列相应支出经济分类。）</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七、政府性基金预算财政拨款支出决算情况说明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（一）政府性基金预算财政拨款支出决算总体情况。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2022年度政府性基金预算财政拨款支出</w:t>
      </w:r>
      <w:r>
        <w:rPr>
          <w:rFonts w:hint="default" w:ascii="仿宋_GB2312" w:hAnsi="宋体" w:eastAsia="仿宋_GB2312" w:cs="仿宋_GB2312"/>
          <w:kern w:val="0"/>
          <w:sz w:val="32"/>
          <w:szCs w:val="32"/>
        </w:rPr>
        <w:t>1,203.99</w:t>
      </w:r>
      <w:r>
        <w:rPr>
          <w:rFonts w:hint="default" w:ascii="仿宋_GB2312" w:hAnsi="ˎ̥" w:eastAsia="仿宋_GB2312" w:cs="仿宋_GB2312"/>
          <w:kern w:val="0"/>
          <w:sz w:val="32"/>
          <w:szCs w:val="32"/>
        </w:rPr>
        <w:t>万元，占本年支出合计的22.51%。与2021年度相比，政府性基金预算财政拨款支出增加580.03万元，增长92.96，主要原因是政府性基金项目预算增加。</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（二）政府性基金预算财政拨款支出决算结构情况。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2022年度政府性基金预算财政拨款支出</w:t>
      </w:r>
      <w:r>
        <w:rPr>
          <w:rFonts w:hint="default" w:ascii="仿宋_GB2312" w:hAnsi="宋体" w:eastAsia="仿宋_GB2312" w:cs="仿宋_GB2312"/>
          <w:kern w:val="0"/>
          <w:sz w:val="32"/>
          <w:szCs w:val="32"/>
        </w:rPr>
        <w:t>1,203.99</w:t>
      </w:r>
      <w:r>
        <w:rPr>
          <w:rFonts w:hint="default" w:ascii="仿宋_GB2312" w:hAnsi="ˎ̥" w:eastAsia="仿宋_GB2312" w:cs="仿宋_GB2312"/>
          <w:kern w:val="0"/>
          <w:sz w:val="32"/>
          <w:szCs w:val="32"/>
        </w:rPr>
        <w:t>万元，主要用于以下方面：</w:t>
      </w:r>
      <w:r>
        <w:rPr>
          <w:rFonts w:hint="default" w:ascii="仿宋_GB2312" w:hAnsi="ˎ̥" w:eastAsia="仿宋_GB2312" w:cs="仿宋_GB2312"/>
          <w:b/>
          <w:kern w:val="0"/>
          <w:sz w:val="32"/>
          <w:szCs w:val="32"/>
        </w:rPr>
        <w:t>城乡社区支出（类）支出</w:t>
      </w:r>
      <w:r>
        <w:rPr>
          <w:rFonts w:hint="default" w:ascii="仿宋_GB2312" w:hAnsi="ˎ̥" w:eastAsia="仿宋_GB2312" w:cs="仿宋_GB2312"/>
          <w:kern w:val="0"/>
          <w:sz w:val="32"/>
          <w:szCs w:val="32"/>
        </w:rPr>
        <w:t>150万元，占12.46%；</w:t>
      </w:r>
      <w:r>
        <w:rPr>
          <w:rFonts w:hint="default" w:ascii="ˎ̥" w:hAnsi="ˎ̥" w:eastAsia="ˎ̥" w:cs="ˎ̥"/>
          <w:b/>
          <w:kern w:val="0"/>
          <w:sz w:val="32"/>
          <w:szCs w:val="32"/>
        </w:rPr>
        <w:t>其他支出</w:t>
      </w:r>
      <w:r>
        <w:rPr>
          <w:rFonts w:hint="default" w:ascii="仿宋_GB2312" w:hAnsi="ˎ̥" w:eastAsia="仿宋_GB2312" w:cs="仿宋_GB2312"/>
          <w:b/>
          <w:kern w:val="0"/>
          <w:sz w:val="32"/>
          <w:szCs w:val="32"/>
        </w:rPr>
        <w:t>（类）支出</w:t>
      </w:r>
      <w:r>
        <w:rPr>
          <w:rFonts w:hint="default" w:ascii="仿宋_GB2312" w:hAnsi="ˎ̥" w:eastAsia="仿宋_GB2312" w:cs="仿宋_GB2312"/>
          <w:kern w:val="0"/>
          <w:sz w:val="32"/>
          <w:szCs w:val="32"/>
        </w:rPr>
        <w:t>1053.99万元，占87.54%。</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（注：根据各单位实际支出涉及的支出功能分类类级科目填列）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（三）政府性基金预算财政拨款支出决算具体情况。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2022年度政府性基金预算财政拨款支出年初预算为0万元，支出决算为</w:t>
      </w:r>
      <w:r>
        <w:rPr>
          <w:rFonts w:hint="default" w:ascii="仿宋_GB2312" w:hAnsi="宋体" w:eastAsia="仿宋_GB2312" w:cs="仿宋_GB2312"/>
          <w:kern w:val="0"/>
          <w:sz w:val="32"/>
          <w:szCs w:val="32"/>
        </w:rPr>
        <w:t>1,203.99</w:t>
      </w:r>
      <w:r>
        <w:rPr>
          <w:rFonts w:hint="default" w:ascii="仿宋_GB2312" w:hAnsi="ˎ̥" w:eastAsia="仿宋_GB2312" w:cs="仿宋_GB2312"/>
          <w:kern w:val="0"/>
          <w:sz w:val="32"/>
          <w:szCs w:val="32"/>
        </w:rPr>
        <w:t>万元，完成年初预算的100%。其中：</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b/>
          <w:kern w:val="0"/>
          <w:sz w:val="32"/>
          <w:szCs w:val="32"/>
        </w:rPr>
      </w:pPr>
      <w:r>
        <w:rPr>
          <w:rFonts w:hint="default" w:ascii="仿宋_GB2312" w:hAnsi="ˎ̥" w:eastAsia="仿宋_GB2312" w:cs="仿宋_GB2312"/>
          <w:b/>
          <w:kern w:val="0"/>
          <w:sz w:val="32"/>
          <w:szCs w:val="32"/>
        </w:rPr>
        <w:t>1.城乡社区支出（类）国有土地使用权出让收入安排的支出（款）城市建设支出（项）。</w:t>
      </w:r>
    </w:p>
    <w:p>
      <w:pPr>
        <w:keepNext w:val="0"/>
        <w:keepLines w:val="0"/>
        <w:widowControl/>
        <w:suppressLineNumbers w:val="0"/>
        <w:spacing w:line="560" w:lineRule="exact"/>
        <w:ind w:left="0" w:firstLine="640" w:firstLineChars="200"/>
        <w:rPr>
          <w:rFonts w:hint="default" w:ascii="仿宋_GB2312" w:hAnsi="ˎ̥" w:eastAsia="仿宋_GB2312" w:cs="宋体"/>
          <w:kern w:val="0"/>
          <w:sz w:val="32"/>
          <w:szCs w:val="32"/>
        </w:rPr>
      </w:pP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0万元，支出决算为150万元，完成年初预算的100%。决算数大于预算数的主要原因：年度内向财政追加预算项目</w:t>
      </w:r>
      <w:r>
        <w:rPr>
          <w:rFonts w:hint="default" w:ascii="仿宋_GB2312" w:hAnsi="ˎ̥" w:eastAsia="仿宋_GB2312" w:cs="仿宋_GB2312"/>
          <w:b/>
          <w:kern w:val="0"/>
          <w:sz w:val="32"/>
          <w:szCs w:val="32"/>
        </w:rPr>
        <w:t>。</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b/>
          <w:kern w:val="0"/>
          <w:sz w:val="32"/>
          <w:szCs w:val="32"/>
        </w:rPr>
      </w:pPr>
      <w:r>
        <w:rPr>
          <w:rFonts w:hint="default" w:ascii="仿宋_GB2312" w:hAnsi="ˎ̥" w:eastAsia="仿宋_GB2312" w:cs="仿宋_GB2312"/>
          <w:b/>
          <w:kern w:val="0"/>
          <w:sz w:val="32"/>
          <w:szCs w:val="32"/>
        </w:rPr>
        <w:t>2.其他支出支出（类）其他政府性基金及对应专项债务收入安排的支出（款）其他地方自行试点项目收益专项债券收入安排的支出（项）。</w:t>
      </w:r>
    </w:p>
    <w:p>
      <w:pPr>
        <w:keepNext w:val="0"/>
        <w:keepLines w:val="0"/>
        <w:widowControl/>
        <w:suppressLineNumbers w:val="0"/>
        <w:spacing w:line="560" w:lineRule="exact"/>
        <w:ind w:left="0" w:firstLine="640" w:firstLineChars="200"/>
        <w:rPr>
          <w:rFonts w:hint="default" w:ascii="仿宋_GB2312" w:hAnsi="ˎ̥" w:eastAsia="仿宋_GB2312" w:cs="宋体"/>
          <w:kern w:val="0"/>
          <w:sz w:val="32"/>
          <w:szCs w:val="32"/>
        </w:rPr>
      </w:pP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0万元，支出决算为1053.99万元，完成年初预算的100%。决算数大于预算数的主要原因：年度内向财政追加预算项目</w:t>
      </w:r>
      <w:r>
        <w:rPr>
          <w:rFonts w:hint="default" w:ascii="仿宋_GB2312" w:hAnsi="ˎ̥" w:eastAsia="仿宋_GB2312" w:cs="仿宋_GB2312"/>
          <w:b/>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（注：根据各单位实际支出涉及的支出功能分类项级科目填列，本部分2022年决算相关数据取自财决公开07表；2021年决算相关数据取自财决09表《政府性基金预算财政拨款收入支出决算表》）</w:t>
      </w:r>
    </w:p>
    <w:p>
      <w:pPr>
        <w:keepNext w:val="0"/>
        <w:keepLines w:val="0"/>
        <w:widowControl/>
        <w:suppressLineNumbers w:val="0"/>
        <w:spacing w:before="0" w:beforeAutospacing="1" w:after="0" w:afterAutospacing="1"/>
        <w:ind w:left="0" w:right="0" w:firstLine="598" w:firstLineChars="187"/>
        <w:outlineLvl w:val="1"/>
        <w:rPr>
          <w:rFonts w:hint="eastAsia" w:ascii="黑体" w:hAnsi="宋体" w:eastAsia="黑体" w:cs="黑体"/>
          <w:kern w:val="0"/>
          <w:sz w:val="32"/>
          <w:szCs w:val="32"/>
        </w:rPr>
      </w:pPr>
      <w:r>
        <w:rPr>
          <w:rFonts w:hint="eastAsia" w:ascii="黑体" w:hAnsi="宋体" w:eastAsia="黑体" w:cs="黑体"/>
          <w:kern w:val="0"/>
          <w:sz w:val="32"/>
          <w:szCs w:val="32"/>
        </w:rPr>
        <w:t>八、国有资本经营预算财政拨款支出决算情况说明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（一）国有资本经营预算财政拨款支出决算总体情况。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2022年度国有资本经营预算财政拨款支出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万元，占本年支出合计的0%。与2021年度相比，国有资本经营预算财政拨款支出持平，主要原因是年度内没有发生</w:t>
      </w:r>
      <w:r>
        <w:rPr>
          <w:rFonts w:hint="eastAsia" w:ascii="楷体" w:hAnsi="楷体" w:eastAsia="楷体" w:cs="楷体"/>
          <w:kern w:val="0"/>
          <w:sz w:val="32"/>
          <w:szCs w:val="32"/>
        </w:rPr>
        <w:t>国有资本经营预算财政拨款支出</w:t>
      </w:r>
      <w:r>
        <w:rPr>
          <w:rFonts w:hint="default" w:ascii="仿宋_GB2312" w:hAnsi="ˎ̥" w:eastAsia="仿宋_GB2312" w:cs="仿宋_GB2312"/>
          <w:kern w:val="0"/>
          <w:sz w:val="32"/>
          <w:szCs w:val="32"/>
        </w:rPr>
        <w:t>。</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（二）国有资本经营预算财政拨款支出决算结构情况。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2022年度国有资本经营预算财政拨款支出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（注：根据各单位实际支出涉及的支出功能分类类级科目填列）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（三）国有资本经营预算财政拨款支出决算具体情况。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2022年度国有资本经营预算财政拨款支出年初预算为0万元，支出决算</w:t>
      </w:r>
      <w:r>
        <w:rPr>
          <w:rFonts w:hint="default" w:ascii="仿宋_GB2312" w:hAnsi="宋体" w:eastAsia="仿宋_GB2312" w:cs="仿宋_GB2312"/>
          <w:kern w:val="0"/>
          <w:sz w:val="32"/>
          <w:szCs w:val="32"/>
        </w:rPr>
        <w:t>为0.00</w:t>
      </w:r>
      <w:r>
        <w:rPr>
          <w:rFonts w:hint="default" w:ascii="仿宋_GB2312" w:hAnsi="ˎ̥" w:eastAsia="仿宋_GB2312" w:cs="仿宋_GB2312"/>
          <w:kern w:val="0"/>
          <w:sz w:val="32"/>
          <w:szCs w:val="32"/>
        </w:rPr>
        <w:t>万元，完成年初预算的%。</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（注：根据各单位实际支出涉及的支出功能分类项级科目填列，本部分2022年决算相关数据取自财决公开08表）。</w:t>
      </w:r>
    </w:p>
    <w:p>
      <w:pPr>
        <w:keepNext w:val="0"/>
        <w:keepLines w:val="0"/>
        <w:widowControl/>
        <w:suppressLineNumbers w:val="0"/>
        <w:spacing w:before="0" w:beforeAutospacing="1" w:after="0" w:afterAutospacing="1"/>
        <w:ind w:left="0" w:right="0" w:firstLine="598" w:firstLineChars="187"/>
        <w:outlineLvl w:val="1"/>
        <w:rPr>
          <w:rFonts w:hint="default" w:ascii="仿宋_GB2312" w:hAnsi="ˎ̥" w:eastAsia="楷体_GB2312" w:cs="仿宋_GB2312"/>
          <w:kern w:val="0"/>
          <w:sz w:val="32"/>
          <w:szCs w:val="32"/>
        </w:rPr>
      </w:pPr>
      <w:r>
        <w:rPr>
          <w:rFonts w:hint="eastAsia" w:ascii="黑体" w:hAnsi="宋体" w:eastAsia="黑体" w:cs="黑体"/>
          <w:kern w:val="0"/>
          <w:sz w:val="32"/>
          <w:szCs w:val="32"/>
        </w:rPr>
        <w:t>九、财政拨款“三公”经费支出决算情况说明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（一）财政拨款“三公”经费支出决算总体情况说明。</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 xml:space="preserve">    2022年度财政拨款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经费支出预算为</w:t>
      </w:r>
      <w:r>
        <w:rPr>
          <w:rFonts w:hint="default" w:ascii="仿宋_GB2312" w:hAnsi="宋体" w:eastAsia="仿宋_GB2312" w:cs="仿宋_GB2312"/>
          <w:kern w:val="0"/>
          <w:sz w:val="32"/>
          <w:szCs w:val="32"/>
        </w:rPr>
        <w:t>29.83</w:t>
      </w:r>
      <w:r>
        <w:rPr>
          <w:rFonts w:hint="default" w:ascii="仿宋_GB2312" w:hAnsi="ˎ̥" w:eastAsia="仿宋_GB2312" w:cs="仿宋_GB2312"/>
          <w:kern w:val="0"/>
          <w:sz w:val="32"/>
          <w:szCs w:val="32"/>
        </w:rPr>
        <w:t>万元，支出决算为</w:t>
      </w:r>
      <w:r>
        <w:rPr>
          <w:rFonts w:hint="default" w:ascii="仿宋_GB2312" w:hAnsi="宋体" w:eastAsia="仿宋_GB2312" w:cs="仿宋_GB2312"/>
          <w:kern w:val="0"/>
          <w:sz w:val="32"/>
          <w:szCs w:val="32"/>
        </w:rPr>
        <w:t>28.98</w:t>
      </w:r>
      <w:r>
        <w:rPr>
          <w:rFonts w:hint="default" w:ascii="仿宋_GB2312" w:hAnsi="ˎ̥" w:eastAsia="仿宋_GB2312" w:cs="仿宋_GB2312"/>
          <w:kern w:val="0"/>
          <w:sz w:val="32"/>
          <w:szCs w:val="32"/>
        </w:rPr>
        <w:t>万元，完成预算的97.15%。</w:t>
      </w:r>
    </w:p>
    <w:p>
      <w:pPr>
        <w:keepNext w:val="0"/>
        <w:keepLines w:val="0"/>
        <w:widowControl/>
        <w:suppressLineNumbers w:val="0"/>
        <w:spacing w:before="0" w:beforeAutospacing="1" w:after="0" w:afterAutospacing="1"/>
        <w:ind w:left="0" w:right="0"/>
        <w:rPr>
          <w:rFonts w:hint="eastAsia" w:ascii="楷体" w:hAnsi="楷体" w:eastAsia="楷体" w:cs="楷体"/>
          <w:kern w:val="0"/>
          <w:sz w:val="32"/>
          <w:szCs w:val="32"/>
        </w:rPr>
      </w:pPr>
      <w:r>
        <w:rPr>
          <w:rFonts w:hint="eastAsia" w:ascii="楷体" w:hAnsi="楷体" w:eastAsia="楷体" w:cs="楷体"/>
          <w:b/>
          <w:kern w:val="0"/>
          <w:sz w:val="32"/>
          <w:szCs w:val="32"/>
        </w:rPr>
        <w:t xml:space="preserve">   </w:t>
      </w:r>
      <w:r>
        <w:rPr>
          <w:rFonts w:hint="eastAsia" w:ascii="楷体" w:hAnsi="楷体" w:eastAsia="楷体" w:cs="楷体"/>
          <w:kern w:val="0"/>
          <w:sz w:val="32"/>
          <w:szCs w:val="32"/>
        </w:rPr>
        <w:t xml:space="preserve"> （二）财政拨款“三公”经费支出决算具体情况说明。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2022年度财政拨款</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经费支出决算中，因公出国（境）费支出决算</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万元，占0%；公务用车购置及运行维护费支出决算</w:t>
      </w:r>
      <w:r>
        <w:rPr>
          <w:rFonts w:hint="default" w:ascii="仿宋_GB2312" w:hAnsi="宋体" w:eastAsia="仿宋_GB2312" w:cs="仿宋_GB2312"/>
          <w:kern w:val="0"/>
          <w:sz w:val="32"/>
          <w:szCs w:val="32"/>
        </w:rPr>
        <w:t>28.98</w:t>
      </w:r>
      <w:r>
        <w:rPr>
          <w:rFonts w:hint="default" w:ascii="仿宋_GB2312" w:hAnsi="ˎ̥" w:eastAsia="仿宋_GB2312" w:cs="仿宋_GB2312"/>
          <w:kern w:val="0"/>
          <w:sz w:val="32"/>
          <w:szCs w:val="32"/>
        </w:rPr>
        <w:t>万元，占100%；公务接待费支出决算</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万元，占0%。具体情况如下：</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kern w:val="0"/>
          <w:sz w:val="32"/>
          <w:szCs w:val="32"/>
        </w:rPr>
        <w:t>1.因公出国（境）费</w:t>
      </w:r>
      <w:r>
        <w:rPr>
          <w:rFonts w:hint="default" w:ascii="仿宋_GB2312" w:hAnsi="ˎ̥" w:eastAsia="仿宋_GB2312" w:cs="仿宋_GB2312"/>
          <w:kern w:val="0"/>
          <w:sz w:val="32"/>
          <w:szCs w:val="32"/>
        </w:rPr>
        <w:t>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万元。全年安排因公出国（境）团组0个，因公出国（境）0人次。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因公出国（境）费支出决算与预算数持平。主要原因是年度内没有发生因公出国（境）费用。</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b/>
          <w:kern w:val="0"/>
          <w:sz w:val="32"/>
          <w:szCs w:val="32"/>
        </w:rPr>
        <w:t xml:space="preserve">    2.公务用车购置及运行维护费支出</w:t>
      </w:r>
      <w:r>
        <w:rPr>
          <w:rFonts w:hint="default" w:ascii="仿宋_GB2312" w:hAnsi="宋体" w:eastAsia="仿宋_GB2312" w:cs="仿宋_GB2312"/>
          <w:kern w:val="0"/>
          <w:sz w:val="32"/>
          <w:szCs w:val="32"/>
        </w:rPr>
        <w:t>28.98</w:t>
      </w:r>
      <w:r>
        <w:rPr>
          <w:rFonts w:hint="default" w:ascii="仿宋_GB2312" w:hAnsi="ˎ̥" w:eastAsia="仿宋_GB2312" w:cs="仿宋_GB2312"/>
          <w:kern w:val="0"/>
          <w:sz w:val="32"/>
          <w:szCs w:val="32"/>
        </w:rPr>
        <w:t>万元。其中：</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kern w:val="0"/>
          <w:sz w:val="32"/>
          <w:szCs w:val="32"/>
        </w:rPr>
        <w:t>公务用车购置支出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万元，全年购置公务用车0辆，年末公务用车保有量15辆。</w:t>
      </w:r>
    </w:p>
    <w:p>
      <w:pPr>
        <w:keepNext w:val="0"/>
        <w:keepLines w:val="0"/>
        <w:widowControl/>
        <w:suppressLineNumbers w:val="0"/>
        <w:spacing w:line="560" w:lineRule="exact"/>
        <w:ind w:left="0" w:firstLine="643" w:firstLineChars="200"/>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rPr>
        <w:t>公务用车运行维护费支出</w:t>
      </w:r>
      <w:r>
        <w:rPr>
          <w:rFonts w:hint="default" w:ascii="仿宋_GB2312" w:hAnsi="宋体" w:eastAsia="仿宋_GB2312" w:cs="仿宋_GB2312"/>
          <w:kern w:val="0"/>
          <w:sz w:val="32"/>
          <w:szCs w:val="32"/>
        </w:rPr>
        <w:t>28.98</w:t>
      </w:r>
      <w:r>
        <w:rPr>
          <w:rFonts w:hint="default" w:ascii="仿宋_GB2312" w:hAnsi="ˎ̥" w:eastAsia="仿宋_GB2312" w:cs="仿宋_GB2312"/>
          <w:kern w:val="0"/>
          <w:sz w:val="32"/>
          <w:szCs w:val="32"/>
        </w:rPr>
        <w:t>万元，主要用于</w:t>
      </w:r>
      <w:r>
        <w:rPr>
          <w:rFonts w:hint="default" w:ascii="仿宋_GB2312" w:hAnsi="楷体" w:eastAsia="仿宋_GB2312" w:cs="仿宋_GB2312"/>
          <w:color w:val="000000"/>
          <w:kern w:val="0"/>
          <w:sz w:val="32"/>
          <w:szCs w:val="32"/>
        </w:rPr>
        <w:t>公务车辆维修费、保险费及其他</w:t>
      </w:r>
      <w:r>
        <w:rPr>
          <w:rFonts w:hint="default" w:ascii="仿宋_GB2312" w:hAnsi="ˎ̥" w:eastAsia="仿宋_GB2312" w:cs="仿宋_GB2312"/>
          <w:kern w:val="0"/>
          <w:sz w:val="32"/>
          <w:szCs w:val="32"/>
        </w:rPr>
        <w:t>运行维护费</w:t>
      </w:r>
      <w:r>
        <w:rPr>
          <w:rFonts w:hint="default" w:ascii="仿宋_GB2312" w:hAnsi="楷体" w:eastAsia="仿宋_GB2312" w:cs="仿宋_GB2312"/>
          <w:color w:val="000000"/>
          <w:kern w:val="0"/>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公务用车购置及运行费支出决算数比预算数减少0.85万元，下降2.85%，主要原因是</w:t>
      </w:r>
      <w:r>
        <w:rPr>
          <w:rFonts w:hint="default" w:ascii="仿宋_GB2312" w:hAnsi="楷体" w:eastAsia="仿宋_GB2312" w:cs="仿宋_GB2312"/>
          <w:color w:val="000000"/>
          <w:kern w:val="0"/>
          <w:sz w:val="32"/>
          <w:szCs w:val="32"/>
        </w:rPr>
        <w:t>严格按照中央八项规定厉行节约，对三公预算经费支出计划进行了压缩。</w:t>
      </w:r>
    </w:p>
    <w:p>
      <w:pPr>
        <w:keepNext w:val="0"/>
        <w:keepLines w:val="0"/>
        <w:widowControl/>
        <w:suppressLineNumbers w:val="0"/>
        <w:spacing w:before="0" w:beforeAutospacing="1" w:after="0" w:afterAutospacing="1"/>
        <w:ind w:left="0" w:right="0"/>
        <w:rPr>
          <w:rFonts w:hint="default" w:ascii="仿宋_GB2312" w:hAnsi="ˎ̥" w:eastAsia="仿宋_GB2312" w:cs="仿宋_GB2312"/>
          <w:kern w:val="0"/>
          <w:sz w:val="32"/>
          <w:szCs w:val="32"/>
        </w:rPr>
      </w:pPr>
      <w:r>
        <w:rPr>
          <w:rFonts w:hint="default" w:ascii="仿宋_GB2312" w:hAnsi="ˎ̥" w:eastAsia="仿宋_GB2312" w:cs="仿宋_GB2312"/>
          <w:b/>
          <w:kern w:val="0"/>
          <w:sz w:val="32"/>
          <w:szCs w:val="32"/>
        </w:rPr>
        <w:t xml:space="preserve">    3.公务接待费支出</w:t>
      </w:r>
      <w:r>
        <w:rPr>
          <w:rFonts w:hint="default" w:ascii="仿宋_GB2312" w:hAnsi="宋体" w:eastAsia="仿宋_GB2312" w:cs="仿宋_GB2312"/>
          <w:kern w:val="0"/>
          <w:sz w:val="32"/>
          <w:szCs w:val="32"/>
        </w:rPr>
        <w:t>0.00</w:t>
      </w:r>
      <w:r>
        <w:rPr>
          <w:rFonts w:hint="default" w:ascii="仿宋_GB2312" w:hAnsi="ˎ̥" w:eastAsia="仿宋_GB2312" w:cs="仿宋_GB2312"/>
          <w:kern w:val="0"/>
          <w:sz w:val="32"/>
          <w:szCs w:val="32"/>
        </w:rPr>
        <w:t>万元，其中：</w:t>
      </w:r>
    </w:p>
    <w:p>
      <w:pPr>
        <w:keepNext w:val="0"/>
        <w:keepLines w:val="0"/>
        <w:widowControl/>
        <w:suppressLineNumbers w:val="0"/>
        <w:spacing w:before="0" w:beforeAutospacing="1" w:after="0" w:afterAutospacing="1"/>
        <w:ind w:left="0" w:right="0" w:firstLine="643" w:firstLineChars="200"/>
        <w:rPr>
          <w:rFonts w:hint="default" w:ascii="仿宋_GB2312" w:hAnsi="ˎ̥" w:eastAsia="仿宋_GB2312" w:cs="仿宋_GB2312"/>
          <w:kern w:val="0"/>
          <w:sz w:val="32"/>
          <w:szCs w:val="32"/>
        </w:rPr>
      </w:pPr>
      <w:r>
        <w:rPr>
          <w:rFonts w:hint="default" w:ascii="仿宋_GB2312" w:hAnsi="ˎ̥" w:eastAsia="仿宋_GB2312" w:cs="仿宋_GB2312"/>
          <w:b/>
          <w:kern w:val="0"/>
          <w:sz w:val="32"/>
          <w:szCs w:val="32"/>
        </w:rPr>
        <w:t>国内接待费</w:t>
      </w:r>
      <w:r>
        <w:rPr>
          <w:rFonts w:hint="default" w:ascii="仿宋_GB2312" w:hAnsi="ˎ̥" w:eastAsia="仿宋_GB2312" w:cs="仿宋_GB2312"/>
          <w:kern w:val="0"/>
          <w:sz w:val="32"/>
          <w:szCs w:val="32"/>
        </w:rPr>
        <w:t>支出0万元，国内公务接待0批次，接待0人次。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国（境）外接待费支出0万元，国（境）外公务接待0批次，接待0人次。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公务接待费支出决算数比预算数持平，主要原因是年度内没有发生公务接待费。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（注：2022年度</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经费预算数、决算数可取自附件财决公开09表，2022年的出国团组数、出国人次，公务用车购置数、公务用车保有量，接待团组数、接待人次可取自部门决算报表F03表《机构运行信息表》）。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kern w:val="0"/>
          <w:sz w:val="32"/>
          <w:szCs w:val="32"/>
        </w:rPr>
      </w:pPr>
      <w:r>
        <w:rPr>
          <w:rFonts w:hint="eastAsia" w:ascii="黑体" w:hAnsi="宋体" w:eastAsia="黑体" w:cs="黑体"/>
          <w:kern w:val="0"/>
          <w:sz w:val="32"/>
          <w:szCs w:val="32"/>
        </w:rPr>
        <w:t>十、预算绩效情况说明。</w:t>
      </w:r>
    </w:p>
    <w:p>
      <w:pPr>
        <w:keepNext w:val="0"/>
        <w:keepLines w:val="0"/>
        <w:widowControl/>
        <w:suppressLineNumbers w:val="0"/>
        <w:spacing w:before="0" w:beforeAutospacing="1" w:after="0" w:afterAutospacing="1" w:line="578"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（一）绩效管理工作开展情况。</w:t>
      </w:r>
    </w:p>
    <w:p>
      <w:pPr>
        <w:keepNext w:val="0"/>
        <w:keepLines w:val="0"/>
        <w:widowControl/>
        <w:suppressLineNumbers w:val="0"/>
        <w:spacing w:before="0" w:beforeAutospacing="1" w:after="0" w:afterAutospacing="1"/>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根据预算管理要求，我单位组织对2022年度一般公共预算项目支出全面开展绩效自评。其中，自评项目3个，共涉及资金1613.94万元，占一般公共预算项目支出总额的48.90%。组织对2022年度</w:t>
      </w:r>
      <w:r>
        <w:rPr>
          <w:rFonts w:hint="default" w:ascii="仿宋_GB2312" w:hAnsi="宋体" w:eastAsia="仿宋_GB2312" w:cs="仿宋_GB2312"/>
          <w:color w:val="000000"/>
          <w:kern w:val="0"/>
          <w:sz w:val="32"/>
          <w:szCs w:val="32"/>
        </w:rPr>
        <w:t>海口综合应急物资仓储项目</w:t>
      </w:r>
      <w:r>
        <w:rPr>
          <w:rFonts w:hint="default" w:ascii="仿宋_GB2312" w:hAnsi="宋体" w:eastAsia="仿宋_GB2312" w:cs="仿宋_GB2312"/>
          <w:kern w:val="0"/>
          <w:sz w:val="32"/>
          <w:szCs w:val="32"/>
        </w:rPr>
        <w:t>这一个政府性基金预算项目开展绩效自评，共涉及资金1053.99万元，占政府性基金预算项目支出总额的87.54%。</w:t>
      </w:r>
    </w:p>
    <w:p>
      <w:pPr>
        <w:keepNext w:val="0"/>
        <w:keepLines w:val="0"/>
        <w:widowControl/>
        <w:suppressLineNumbers w:val="0"/>
        <w:spacing w:before="0" w:beforeAutospacing="1" w:after="0" w:afterAutospacing="1"/>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共组织对“</w:t>
      </w:r>
      <w:r>
        <w:rPr>
          <w:rFonts w:hint="default" w:ascii="仿宋_GB2312" w:hAnsi="宋体" w:eastAsia="仿宋_GB2312" w:cs="仿宋_GB2312"/>
          <w:color w:val="000000"/>
          <w:kern w:val="0"/>
          <w:sz w:val="32"/>
          <w:szCs w:val="32"/>
        </w:rPr>
        <w:t>海口综合应急物资仓储项目</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等3个项目开展了单位评价，涉及一般公共预算支出559.95万元，政府性基金预算支出1053.99万元。从评价情况来看，</w:t>
      </w:r>
      <w:r>
        <w:rPr>
          <w:rFonts w:hint="eastAsia" w:ascii="仿宋" w:hAnsi="仿宋" w:eastAsia="仿宋" w:cs="仿宋"/>
          <w:kern w:val="0"/>
          <w:sz w:val="32"/>
          <w:szCs w:val="32"/>
          <w:shd w:val="clear" w:fill="FFFFFF"/>
        </w:rPr>
        <w:t>2022年</w:t>
      </w:r>
      <w:r>
        <w:rPr>
          <w:rFonts w:hint="eastAsia" w:ascii="仿宋" w:hAnsi="仿宋" w:eastAsia="仿宋" w:cs="仿宋"/>
          <w:kern w:val="0"/>
          <w:sz w:val="32"/>
          <w:szCs w:val="32"/>
        </w:rPr>
        <w:t>项目实施后我局</w:t>
      </w:r>
      <w:r>
        <w:rPr>
          <w:rFonts w:hint="default" w:ascii="仿宋_GB2312" w:hAnsi="宋体" w:eastAsia="仿宋_GB2312" w:cs="仿宋_GB2312"/>
          <w:kern w:val="0"/>
          <w:sz w:val="32"/>
          <w:szCs w:val="32"/>
        </w:rPr>
        <w:t>深入贯彻党的二十大精神和习近平总书记关于安全生产重要论述，坚持“人民至上、生命至上</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，毫不放松抓好应急管理工作。全市发生各类生产安全事故（以录入生产安全事故统计直报系统为准）43起、死亡43人，与去年同期相比减少8起、4人，分别下降15.7%、8.5%，实现连续三年</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双下降</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，未发生较大及以上生产安全事故；有效防御应对6个台风，森林火灾</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零发生</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成功创建3所国家级、4所省级防震减灾科普示范学校，1个全国综合减灾示范社区；海口森林消防队在全省首届森林消防专业队伍职业技能比武中荣获团体总分第一、4个单科目团体一等奖；市应急管理局陈其俊同志荣获全国第六届119消防先进个人。全市安全生产、应急救援和防灾减灾能力不断增强。</w:t>
      </w:r>
    </w:p>
    <w:p>
      <w:pPr>
        <w:keepNext w:val="0"/>
        <w:keepLines w:val="0"/>
        <w:widowControl/>
        <w:numPr>
          <w:ilvl w:val="0"/>
          <w:numId w:val="2"/>
        </w:numPr>
        <w:suppressLineNumbers w:val="0"/>
        <w:spacing w:before="0" w:beforeAutospacing="1" w:after="0" w:afterAutospacing="1" w:line="578" w:lineRule="exact"/>
        <w:ind w:left="0" w:leftChars="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单位决算中项目绩效自评结果。</w:t>
      </w:r>
    </w:p>
    <w:p>
      <w:pPr>
        <w:keepNext w:val="0"/>
        <w:keepLines w:val="0"/>
        <w:widowControl/>
        <w:suppressLineNumbers w:val="0"/>
        <w:spacing w:before="0" w:beforeAutospacing="0" w:after="0" w:afterAutospacing="0"/>
        <w:ind w:left="0" w:leftChars="0" w:right="0" w:rightChars="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我单位在单位决算中反映</w:t>
      </w:r>
      <w:r>
        <w:rPr>
          <w:rFonts w:hint="eastAsia" w:ascii="仿宋" w:hAnsi="仿宋" w:eastAsia="仿宋" w:cs="仿宋"/>
          <w:kern w:val="0"/>
          <w:sz w:val="32"/>
          <w:szCs w:val="32"/>
        </w:rPr>
        <w:t>“</w:t>
      </w:r>
      <w:r>
        <w:rPr>
          <w:rFonts w:hint="default" w:ascii="仿宋_GB2312" w:hAnsi="宋体" w:eastAsia="仿宋_GB2312" w:cs="仿宋_GB2312"/>
          <w:color w:val="000000"/>
          <w:kern w:val="0"/>
          <w:sz w:val="32"/>
          <w:szCs w:val="32"/>
        </w:rPr>
        <w:t>海口综合应急物资仓储项目”</w:t>
      </w:r>
      <w:r>
        <w:rPr>
          <w:rFonts w:hint="default" w:ascii="仿宋_GB2312" w:hAnsi="宋体" w:eastAsia="仿宋_GB2312" w:cs="仿宋_GB2312"/>
          <w:kern w:val="0"/>
          <w:sz w:val="32"/>
          <w:szCs w:val="32"/>
        </w:rPr>
        <w:t>、</w:t>
      </w:r>
      <w:r>
        <w:rPr>
          <w:rFonts w:hint="eastAsia" w:ascii="仿宋" w:hAnsi="仿宋" w:eastAsia="仿宋" w:cs="仿宋"/>
          <w:kern w:val="0"/>
          <w:sz w:val="32"/>
          <w:szCs w:val="32"/>
        </w:rPr>
        <w:t>“</w:t>
      </w:r>
      <w:r>
        <w:rPr>
          <w:rFonts w:hint="default" w:ascii="仿宋_GB2312" w:hAnsi="宋体" w:eastAsia="仿宋_GB2312" w:cs="仿宋_GB2312"/>
          <w:kern w:val="0"/>
          <w:sz w:val="31"/>
          <w:szCs w:val="31"/>
        </w:rPr>
        <w:t>海口市2014年防洪楼建设工程（一期）项目</w:t>
      </w:r>
      <w:r>
        <w:rPr>
          <w:rFonts w:hint="default" w:ascii="仿宋_GB2312" w:hAnsi="宋体" w:eastAsia="仿宋_GB2312" w:cs="仿宋_GB2312"/>
          <w:color w:val="000000"/>
          <w:kern w:val="0"/>
          <w:sz w:val="32"/>
          <w:szCs w:val="32"/>
        </w:rPr>
        <w:t>”、</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救灾物资储备及管理项目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3</w:t>
      </w:r>
      <w:r>
        <w:rPr>
          <w:rFonts w:hint="default" w:ascii="仿宋_GB2312" w:hAnsi="宋体" w:eastAsia="仿宋_GB2312" w:cs="仿宋_GB2312"/>
          <w:kern w:val="0"/>
          <w:sz w:val="32"/>
          <w:szCs w:val="32"/>
        </w:rPr>
        <w:t>个项目绩效自评结果。</w:t>
      </w:r>
    </w:p>
    <w:p>
      <w:pPr>
        <w:keepNext w:val="0"/>
        <w:keepLines w:val="0"/>
        <w:widowControl/>
        <w:suppressLineNumbers w:val="0"/>
        <w:spacing w:before="0" w:beforeAutospacing="0" w:after="0" w:afterAutospacing="0"/>
        <w:ind w:left="0" w:leftChars="0" w:right="0" w:rightChars="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1.</w:t>
      </w:r>
      <w:r>
        <w:rPr>
          <w:rFonts w:hint="eastAsia" w:ascii="宋体" w:hAnsi="宋体" w:eastAsia="宋体" w:cs="宋体"/>
          <w:kern w:val="0"/>
          <w:sz w:val="32"/>
          <w:szCs w:val="32"/>
        </w:rPr>
        <w:t>“</w:t>
      </w:r>
      <w:r>
        <w:rPr>
          <w:rFonts w:hint="default" w:ascii="仿宋_GB2312" w:hAnsi="宋体" w:eastAsia="仿宋_GB2312" w:cs="仿宋_GB2312"/>
          <w:color w:val="000000"/>
          <w:kern w:val="0"/>
          <w:sz w:val="32"/>
          <w:szCs w:val="32"/>
        </w:rPr>
        <w:t>海口综合应急物资仓储</w:t>
      </w:r>
      <w:r>
        <w:rPr>
          <w:rFonts w:hint="default" w:ascii="仿宋_GB2312" w:hAnsi="宋体" w:eastAsia="仿宋_GB2312" w:cs="仿宋_GB2312"/>
          <w:kern w:val="0"/>
          <w:sz w:val="32"/>
          <w:szCs w:val="32"/>
        </w:rPr>
        <w:t>”项目绩效自评表：见附件2-1。</w:t>
      </w:r>
    </w:p>
    <w:p>
      <w:pPr>
        <w:keepNext w:val="0"/>
        <w:keepLines w:val="0"/>
        <w:widowControl/>
        <w:suppressLineNumbers w:val="0"/>
        <w:spacing w:before="0" w:beforeAutospacing="0" w:after="0" w:afterAutospacing="0"/>
        <w:ind w:left="0" w:leftChars="0" w:right="0" w:rightChars="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w:t>
      </w:r>
      <w:r>
        <w:rPr>
          <w:rFonts w:hint="default" w:ascii="仿宋_GB2312" w:hAnsi="宋体" w:eastAsia="仿宋_GB2312" w:cs="仿宋_GB2312"/>
          <w:color w:val="000000"/>
          <w:kern w:val="0"/>
          <w:sz w:val="32"/>
          <w:szCs w:val="32"/>
        </w:rPr>
        <w:t>海口综合应急物资仓储</w:t>
      </w:r>
      <w:r>
        <w:rPr>
          <w:rFonts w:hint="default" w:ascii="仿宋_GB2312" w:hAnsi="宋体" w:eastAsia="仿宋_GB2312" w:cs="仿宋_GB2312"/>
          <w:kern w:val="0"/>
          <w:sz w:val="32"/>
          <w:szCs w:val="32"/>
        </w:rPr>
        <w:t>”项目绩效自评报告：根据年初设定的绩效目标，项目自评得分为80.11分。全年预算数为2500万元，执行数为1053.99万元，完成预算的42.16%。项目绩效目标完成情况： 2022年度，</w:t>
      </w:r>
      <w:r>
        <w:rPr>
          <w:rFonts w:hint="default" w:ascii="仿宋_GB2312" w:hAnsi="宋体" w:eastAsia="仿宋_GB2312" w:cs="仿宋_GB2312"/>
          <w:color w:val="000000"/>
          <w:kern w:val="0"/>
          <w:sz w:val="32"/>
          <w:szCs w:val="32"/>
        </w:rPr>
        <w:t>海口综合应急物资仓储项目实施过程中严格按照项目预算科目及有关政策规定进行支付。根据项目运行方案，细化任务，合理配置资源，建立项目控制管理机制，规避项目风险，确保了整个项目的质量，项目完成质量较好。</w:t>
      </w:r>
    </w:p>
    <w:p>
      <w:pPr>
        <w:pStyle w:val="78"/>
        <w:keepNext w:val="0"/>
        <w:keepLines w:val="0"/>
        <w:widowControl/>
        <w:suppressLineNumbers w:val="0"/>
        <w:autoSpaceDE w:val="0"/>
        <w:autoSpaceDN/>
        <w:spacing w:line="560" w:lineRule="exact"/>
        <w:ind w:lef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发现的主要问题及原因：</w:t>
      </w:r>
      <w:r>
        <w:rPr>
          <w:rFonts w:hint="default" w:ascii="仿宋_GB2312" w:hAnsi="宋体" w:eastAsia="仿宋_GB2312" w:cs="仿宋_GB2312"/>
          <w:color w:val="000000"/>
          <w:kern w:val="0"/>
          <w:sz w:val="32"/>
          <w:szCs w:val="32"/>
        </w:rPr>
        <w:t>项目前期资金到位不及时，项目支出进度不均衡，有待优化</w:t>
      </w:r>
      <w:r>
        <w:rPr>
          <w:rFonts w:hint="eastAsia" w:ascii="仿宋" w:hAnsi="仿宋" w:eastAsia="仿宋" w:cs="仿宋"/>
          <w:kern w:val="0"/>
          <w:sz w:val="32"/>
          <w:szCs w:val="32"/>
        </w:rPr>
        <w:t>；下一步改进措施：</w:t>
      </w:r>
      <w:r>
        <w:rPr>
          <w:rFonts w:hint="default" w:ascii="仿宋_GB2312" w:hAnsi="宋体" w:eastAsia="仿宋_GB2312" w:cs="仿宋_GB2312"/>
          <w:color w:val="000000"/>
          <w:kern w:val="0"/>
          <w:sz w:val="32"/>
          <w:szCs w:val="32"/>
        </w:rPr>
        <w:t>全力加快推动项目建设，按时间节点倒排工期并严格执行。</w:t>
      </w:r>
    </w:p>
    <w:p>
      <w:pPr>
        <w:pStyle w:val="2"/>
        <w:keepNext w:val="0"/>
        <w:keepLines w:val="0"/>
        <w:widowControl/>
        <w:suppressLineNumbers w:val="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p>
    <w:p>
      <w:pPr>
        <w:keepNext w:val="0"/>
        <w:keepLines w:val="0"/>
        <w:widowControl/>
        <w:suppressLineNumbers w:val="0"/>
        <w:spacing w:before="0" w:beforeAutospacing="0" w:after="0" w:afterAutospacing="0"/>
        <w:ind w:left="0" w:leftChars="0" w:right="0" w:rightChars="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w:t>
      </w:r>
      <w:r>
        <w:rPr>
          <w:rFonts w:hint="eastAsia" w:ascii="宋体" w:hAnsi="宋体" w:eastAsia="宋体" w:cs="宋体"/>
          <w:kern w:val="0"/>
          <w:sz w:val="32"/>
          <w:szCs w:val="32"/>
        </w:rPr>
        <w:t>“</w:t>
      </w:r>
      <w:r>
        <w:rPr>
          <w:rFonts w:hint="default" w:ascii="仿宋_GB2312" w:hAnsi="宋体" w:eastAsia="仿宋_GB2312" w:cs="仿宋_GB2312"/>
          <w:kern w:val="0"/>
          <w:sz w:val="31"/>
          <w:szCs w:val="31"/>
        </w:rPr>
        <w:t>海口市2014年防洪楼建设工程（一期）</w:t>
      </w:r>
      <w:r>
        <w:rPr>
          <w:rFonts w:hint="default" w:ascii="仿宋_GB2312" w:hAnsi="宋体" w:eastAsia="仿宋_GB2312" w:cs="仿宋_GB2312"/>
          <w:kern w:val="0"/>
          <w:sz w:val="32"/>
          <w:szCs w:val="32"/>
        </w:rPr>
        <w:t>项目”绩效自评表：见附件2-2。</w:t>
      </w:r>
    </w:p>
    <w:p>
      <w:pPr>
        <w:pStyle w:val="37"/>
        <w:keepNext w:val="0"/>
        <w:keepLines w:val="0"/>
        <w:widowControl/>
        <w:suppressLineNumbers w:val="0"/>
        <w:autoSpaceDE w:val="0"/>
        <w:autoSpaceDN/>
        <w:spacing w:line="560" w:lineRule="exact"/>
        <w:ind w:left="0" w:firstLine="645"/>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w:t>
      </w:r>
      <w:r>
        <w:rPr>
          <w:rFonts w:hint="default" w:ascii="仿宋_GB2312" w:hAnsi="宋体" w:eastAsia="仿宋_GB2312" w:cs="仿宋_GB2312"/>
          <w:kern w:val="0"/>
          <w:sz w:val="31"/>
          <w:szCs w:val="31"/>
        </w:rPr>
        <w:t>海口市2014年防洪楼建设工程（一期）</w:t>
      </w:r>
      <w:r>
        <w:rPr>
          <w:rFonts w:hint="default" w:ascii="仿宋_GB2312" w:hAnsi="宋体" w:eastAsia="仿宋_GB2312" w:cs="仿宋_GB2312"/>
          <w:kern w:val="0"/>
          <w:sz w:val="32"/>
          <w:szCs w:val="32"/>
        </w:rPr>
        <w:t>项目”绩效自评报告：根据年初设定的绩效目标，项目自评得分为90分。全年预算数为694.82万元，执行数为347.41万元，完成预算的50%。项目绩效目标完成情况： 2022年度，我局（原海口市防汛防风防旱指挥部办公室）牵头组织的</w:t>
      </w:r>
      <w:r>
        <w:rPr>
          <w:rFonts w:hint="default" w:ascii="仿宋_GB2312" w:hAnsi="宋体" w:eastAsia="仿宋_GB2312" w:cs="仿宋_GB2312"/>
          <w:kern w:val="0"/>
          <w:sz w:val="31"/>
          <w:szCs w:val="31"/>
        </w:rPr>
        <w:t>海口市2014年防洪楼建设工程（一期）</w:t>
      </w:r>
      <w:r>
        <w:rPr>
          <w:rFonts w:hint="default" w:ascii="仿宋_GB2312" w:hAnsi="宋体" w:eastAsia="仿宋_GB2312" w:cs="仿宋_GB2312"/>
          <w:kern w:val="0"/>
          <w:sz w:val="32"/>
          <w:szCs w:val="32"/>
        </w:rPr>
        <w:t>项目在目标设定、决策过程、资金分配、资金到位、资金管理、组织实施、项目效果等方面落实情况较好；</w:t>
      </w:r>
      <w:r>
        <w:rPr>
          <w:rFonts w:hint="default" w:ascii="仿宋_GB2312" w:hAnsi="宋体" w:eastAsia="仿宋_GB2312" w:cs="仿宋_GB2312"/>
          <w:kern w:val="0"/>
          <w:sz w:val="31"/>
          <w:szCs w:val="31"/>
        </w:rPr>
        <w:t>根据项目运行方案，细化任务，合理配置资源，建立项目控制管理机制，规避项目风险，确保了整个项目的质量，项目完成质量较好</w:t>
      </w:r>
      <w:r>
        <w:rPr>
          <w:rFonts w:hint="default" w:ascii="仿宋_GB2312" w:hAnsi="宋体" w:eastAsia="仿宋_GB2312" w:cs="仿宋_GB2312"/>
          <w:color w:val="000000"/>
          <w:kern w:val="0"/>
          <w:sz w:val="32"/>
          <w:szCs w:val="32"/>
        </w:rPr>
        <w:t>。</w:t>
      </w:r>
    </w:p>
    <w:p>
      <w:pPr>
        <w:pStyle w:val="37"/>
        <w:keepNext w:val="0"/>
        <w:keepLines w:val="0"/>
        <w:widowControl/>
        <w:suppressLineNumbers w:val="0"/>
        <w:autoSpaceDE w:val="0"/>
        <w:autoSpaceDN/>
        <w:spacing w:line="560" w:lineRule="exact"/>
        <w:ind w:lef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发现的主要问题及原因：</w:t>
      </w:r>
      <w:r>
        <w:rPr>
          <w:rFonts w:hint="default" w:ascii="仿宋_GB2312" w:hAnsi="宋体" w:eastAsia="仿宋_GB2312" w:cs="仿宋_GB2312"/>
          <w:kern w:val="0"/>
          <w:sz w:val="31"/>
          <w:szCs w:val="31"/>
        </w:rPr>
        <w:t>项目持续时间跨度长，结算进度有待优化；</w:t>
      </w:r>
      <w:r>
        <w:rPr>
          <w:rFonts w:hint="eastAsia" w:ascii="仿宋" w:hAnsi="仿宋" w:eastAsia="仿宋" w:cs="仿宋"/>
          <w:kern w:val="0"/>
          <w:sz w:val="32"/>
          <w:szCs w:val="32"/>
        </w:rPr>
        <w:t>下一步改进措施：</w:t>
      </w:r>
      <w:r>
        <w:rPr>
          <w:rFonts w:hint="default" w:ascii="仿宋_GB2312" w:hAnsi="宋体" w:eastAsia="仿宋_GB2312" w:cs="仿宋_GB2312"/>
          <w:color w:val="000000"/>
          <w:kern w:val="0"/>
          <w:sz w:val="32"/>
          <w:szCs w:val="32"/>
        </w:rPr>
        <w:t>全力加快推动项目建设，按时间节点倒排工期并严格执行。</w:t>
      </w:r>
    </w:p>
    <w:p>
      <w:pPr>
        <w:keepNext w:val="0"/>
        <w:keepLines w:val="0"/>
        <w:widowControl/>
        <w:suppressLineNumbers w:val="0"/>
        <w:spacing w:before="0" w:beforeAutospacing="0" w:after="0" w:afterAutospacing="0"/>
        <w:ind w:left="0" w:leftChars="0" w:right="0" w:rightChars="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3.</w:t>
      </w:r>
      <w:r>
        <w:rPr>
          <w:rFonts w:hint="eastAsia" w:ascii="宋体" w:hAnsi="宋体" w:eastAsia="宋体" w:cs="宋体"/>
          <w:kern w:val="0"/>
          <w:sz w:val="32"/>
          <w:szCs w:val="32"/>
        </w:rPr>
        <w:t>“</w:t>
      </w:r>
      <w:r>
        <w:rPr>
          <w:rFonts w:hint="default" w:ascii="仿宋_GB2312" w:hAnsi="宋体" w:eastAsia="仿宋_GB2312" w:cs="仿宋_GB2312"/>
          <w:color w:val="000000"/>
          <w:kern w:val="0"/>
          <w:sz w:val="32"/>
          <w:szCs w:val="32"/>
        </w:rPr>
        <w:t>救灾物资储备及管理项目</w:t>
      </w:r>
      <w:r>
        <w:rPr>
          <w:rFonts w:hint="default" w:ascii="仿宋_GB2312" w:hAnsi="宋体" w:eastAsia="仿宋_GB2312" w:cs="仿宋_GB2312"/>
          <w:kern w:val="0"/>
          <w:sz w:val="32"/>
          <w:szCs w:val="32"/>
        </w:rPr>
        <w:t>”绩效自评表：见附件2-3。</w:t>
      </w:r>
    </w:p>
    <w:p>
      <w:pPr>
        <w:pStyle w:val="78"/>
        <w:keepNext w:val="0"/>
        <w:keepLines w:val="0"/>
        <w:widowControl/>
        <w:suppressLineNumbers w:val="0"/>
        <w:autoSpaceDE w:val="0"/>
        <w:autoSpaceDN/>
        <w:spacing w:line="560" w:lineRule="exact"/>
        <w:ind w:left="0" w:firstLine="645"/>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w:t>
      </w:r>
      <w:r>
        <w:rPr>
          <w:rFonts w:hint="default" w:ascii="仿宋_GB2312" w:hAnsi="宋体" w:eastAsia="仿宋_GB2312" w:cs="仿宋_GB2312"/>
          <w:color w:val="000000"/>
          <w:kern w:val="0"/>
          <w:sz w:val="32"/>
          <w:szCs w:val="32"/>
        </w:rPr>
        <w:t>救灾物资储备及管理项目</w:t>
      </w:r>
      <w:r>
        <w:rPr>
          <w:rFonts w:hint="default" w:ascii="仿宋_GB2312" w:hAnsi="宋体" w:eastAsia="仿宋_GB2312" w:cs="仿宋_GB2312"/>
          <w:kern w:val="0"/>
          <w:sz w:val="32"/>
          <w:szCs w:val="32"/>
        </w:rPr>
        <w:t>”绩效自评报告：根据年初设定的绩效目标，项目自评得分为90分。全年预算数为507.90万元，执行数为212.54万元，完成预算的41.85%。项目绩效目标完成情况： 2022年度，</w:t>
      </w:r>
      <w:r>
        <w:rPr>
          <w:rFonts w:hint="default" w:ascii="仿宋_GB2312" w:hAnsi="宋体" w:eastAsia="仿宋_GB2312" w:cs="仿宋_GB2312"/>
          <w:color w:val="000000"/>
          <w:kern w:val="0"/>
          <w:sz w:val="32"/>
          <w:szCs w:val="32"/>
        </w:rPr>
        <w:t>救灾物资储备及管理项目实施过程中</w:t>
      </w:r>
      <w:r>
        <w:rPr>
          <w:rFonts w:hint="default" w:ascii="仿宋_GB2312" w:hAnsi="宋体" w:eastAsia="仿宋_GB2312" w:cs="仿宋_GB2312"/>
          <w:kern w:val="0"/>
          <w:sz w:val="32"/>
          <w:szCs w:val="32"/>
        </w:rPr>
        <w:t>，严格按照项目预算科目及有关政策规定进行支付，根据项目运行方案，实施严格的项目管理，细化任务，合理配置资源，建立项目控制管理机制，规避项目风险，确保了整个项目的质量，项目完成质量较好。</w:t>
      </w:r>
    </w:p>
    <w:p>
      <w:pPr>
        <w:pStyle w:val="78"/>
        <w:keepNext w:val="0"/>
        <w:keepLines w:val="0"/>
        <w:widowControl/>
        <w:suppressLineNumbers w:val="0"/>
        <w:autoSpaceDE w:val="0"/>
        <w:autoSpaceDN/>
        <w:spacing w:line="560" w:lineRule="exact"/>
        <w:ind w:lef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发现的主要问题及原因：</w:t>
      </w:r>
      <w:r>
        <w:rPr>
          <w:rFonts w:hint="default" w:ascii="仿宋_GB2312" w:hAnsi="宋体" w:eastAsia="仿宋_GB2312" w:cs="仿宋_GB2312"/>
          <w:kern w:val="0"/>
          <w:sz w:val="32"/>
          <w:szCs w:val="32"/>
        </w:rPr>
        <w:t>项目支出进度不均衡，有待优化；</w:t>
      </w:r>
      <w:r>
        <w:rPr>
          <w:rFonts w:hint="eastAsia" w:ascii="仿宋" w:hAnsi="仿宋" w:eastAsia="仿宋" w:cs="仿宋"/>
          <w:kern w:val="0"/>
          <w:sz w:val="32"/>
          <w:szCs w:val="32"/>
        </w:rPr>
        <w:t>下一步改进措施：</w:t>
      </w:r>
      <w:r>
        <w:rPr>
          <w:rFonts w:hint="default" w:ascii="仿宋_GB2312" w:hAnsi="宋体" w:eastAsia="仿宋_GB2312" w:cs="仿宋_GB2312"/>
          <w:kern w:val="0"/>
          <w:sz w:val="32"/>
          <w:szCs w:val="32"/>
        </w:rPr>
        <w:t>对照省厅仓库物资和本级库实际进行查漏补缺，树立大应急管理理念和应急管理“一盘棋</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思路进行物资动议和采购。</w:t>
      </w:r>
    </w:p>
    <w:p>
      <w:pPr>
        <w:keepNext w:val="0"/>
        <w:keepLines w:val="0"/>
        <w:widowControl/>
        <w:suppressLineNumbers w:val="0"/>
        <w:spacing w:before="0" w:beforeAutospacing="1" w:after="0" w:afterAutospacing="1" w:line="578"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（三）单位评价结果。</w:t>
      </w:r>
    </w:p>
    <w:p>
      <w:pPr>
        <w:keepNext w:val="0"/>
        <w:keepLines w:val="0"/>
        <w:widowControl/>
        <w:suppressLineNumbers w:val="0"/>
        <w:spacing w:line="560" w:lineRule="exact"/>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具体内容见附件2：</w:t>
      </w:r>
    </w:p>
    <w:p>
      <w:pPr>
        <w:keepNext w:val="0"/>
        <w:keepLines w:val="0"/>
        <w:widowControl/>
        <w:numPr>
          <w:ilvl w:val="0"/>
          <w:numId w:val="3"/>
        </w:numPr>
        <w:suppressLineNumbers w:val="0"/>
        <w:spacing w:line="560" w:lineRule="exact"/>
        <w:ind w:left="-10" w:leftChars="0" w:firstLine="640" w:firstLineChars="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海口市应急管理局2022年海口市项目支出绩效自评报告（海口综合应急物资仓储项目）</w:t>
      </w:r>
    </w:p>
    <w:p>
      <w:pPr>
        <w:pStyle w:val="2"/>
        <w:keepNext w:val="0"/>
        <w:keepLines w:val="0"/>
        <w:widowControl/>
        <w:suppressLineNumbers w:val="0"/>
        <w:ind w:left="0" w:firstLine="960" w:firstLineChars="300"/>
        <w:rPr>
          <w:rFonts w:hint="default" w:ascii="仿宋_GB2312" w:hAnsi="Times New Roman" w:eastAsia="仿宋_GB2312" w:cs="仿宋_GB2312"/>
          <w:kern w:val="0"/>
          <w:sz w:val="32"/>
          <w:szCs w:val="32"/>
        </w:rPr>
      </w:pPr>
      <w:r>
        <w:rPr>
          <w:rFonts w:hint="default" w:ascii="仿宋_GB2312" w:hAnsi="Times New Roman" w:eastAsia="仿宋_GB2312" w:cs="仿宋_GB2312"/>
          <w:kern w:val="0"/>
          <w:sz w:val="32"/>
          <w:szCs w:val="32"/>
        </w:rPr>
        <w:t>海口市应急管理局2022年海口市项目支出绩效自评表（海口综合应急物资仓储项目）</w:t>
      </w:r>
    </w:p>
    <w:p>
      <w:pPr>
        <w:keepNext w:val="0"/>
        <w:keepLines w:val="0"/>
        <w:widowControl/>
        <w:numPr>
          <w:ilvl w:val="0"/>
          <w:numId w:val="3"/>
        </w:numPr>
        <w:suppressLineNumbers w:val="0"/>
        <w:spacing w:line="560" w:lineRule="exact"/>
        <w:ind w:left="-10" w:leftChars="0" w:firstLine="640" w:firstLineChars="0"/>
        <w:rPr>
          <w:rFonts w:hint="default" w:ascii="仿宋_GB2312" w:hAnsi="宋体" w:eastAsia="仿宋_GB2312" w:cs="宋体"/>
          <w:kern w:val="0"/>
          <w:sz w:val="32"/>
          <w:szCs w:val="32"/>
        </w:rPr>
      </w:pPr>
      <w:r>
        <w:rPr>
          <w:rFonts w:hint="default" w:ascii="仿宋_GB2312" w:hAnsi="宋体" w:eastAsia="仿宋_GB2312" w:cs="仿宋_GB2312"/>
          <w:kern w:val="0"/>
          <w:sz w:val="32"/>
          <w:szCs w:val="32"/>
        </w:rPr>
        <w:t>海口市应急管理局</w:t>
      </w:r>
      <w:r>
        <w:rPr>
          <w:rFonts w:hint="default" w:ascii="仿宋_GB2312" w:hAnsi="宋体" w:eastAsia="仿宋_GB2312" w:cs="宋体"/>
          <w:kern w:val="0"/>
          <w:sz w:val="32"/>
          <w:szCs w:val="32"/>
        </w:rPr>
        <w:t>2022年海口市项目支出绩效自评报告（海口市2014年防洪楼建设工程（一期）项目）</w:t>
      </w:r>
    </w:p>
    <w:p>
      <w:pPr>
        <w:pStyle w:val="2"/>
        <w:keepNext w:val="0"/>
        <w:keepLines w:val="0"/>
        <w:widowControl/>
        <w:suppressLineNumbers w:val="0"/>
        <w:ind w:left="0" w:firstLine="960" w:firstLineChars="300"/>
        <w:rPr>
          <w:rFonts w:hint="default" w:ascii="仿宋_GB2312" w:hAnsi="宋体" w:eastAsia="仿宋_GB2312" w:cs="宋体"/>
          <w:kern w:val="0"/>
          <w:sz w:val="32"/>
          <w:szCs w:val="32"/>
        </w:rPr>
      </w:pPr>
      <w:r>
        <w:rPr>
          <w:rFonts w:hint="default" w:ascii="仿宋_GB2312" w:hAnsi="宋体" w:eastAsia="仿宋_GB2312" w:cs="仿宋_GB2312"/>
          <w:kern w:val="0"/>
          <w:sz w:val="32"/>
          <w:szCs w:val="32"/>
        </w:rPr>
        <w:t>海口市应急管理局</w:t>
      </w:r>
      <w:r>
        <w:rPr>
          <w:rFonts w:hint="default" w:ascii="仿宋_GB2312" w:hAnsi="宋体" w:eastAsia="仿宋_GB2312" w:cs="宋体"/>
          <w:kern w:val="0"/>
          <w:sz w:val="32"/>
          <w:szCs w:val="32"/>
        </w:rPr>
        <w:t>2022年项目支出绩效自评表（海口市2014年防洪楼建设工程（一期）项目）</w:t>
      </w:r>
    </w:p>
    <w:p>
      <w:pPr>
        <w:keepNext w:val="0"/>
        <w:keepLines w:val="0"/>
        <w:widowControl/>
        <w:numPr>
          <w:ilvl w:val="0"/>
          <w:numId w:val="3"/>
        </w:numPr>
        <w:suppressLineNumbers w:val="0"/>
        <w:spacing w:line="560" w:lineRule="exact"/>
        <w:ind w:left="-10" w:leftChars="0" w:firstLine="640" w:firstLineChars="0"/>
        <w:rPr>
          <w:rFonts w:hint="default" w:ascii="仿宋_GB2312" w:hAnsi="宋体" w:eastAsia="仿宋_GB2312" w:cs="宋体"/>
          <w:kern w:val="0"/>
          <w:sz w:val="32"/>
          <w:szCs w:val="32"/>
        </w:rPr>
      </w:pPr>
      <w:r>
        <w:rPr>
          <w:rFonts w:hint="default" w:ascii="仿宋_GB2312" w:hAnsi="宋体" w:eastAsia="仿宋_GB2312" w:cs="仿宋_GB2312"/>
          <w:kern w:val="0"/>
          <w:sz w:val="32"/>
          <w:szCs w:val="32"/>
        </w:rPr>
        <w:t>海口市应急管理局</w:t>
      </w:r>
      <w:r>
        <w:rPr>
          <w:rFonts w:hint="default" w:ascii="仿宋_GB2312" w:hAnsi="宋体" w:eastAsia="仿宋_GB2312" w:cs="宋体"/>
          <w:kern w:val="0"/>
          <w:sz w:val="32"/>
          <w:szCs w:val="32"/>
        </w:rPr>
        <w:t>2022年项目支出绩效自评报告（救灾物资储备及管理项目）</w:t>
      </w:r>
    </w:p>
    <w:p>
      <w:pPr>
        <w:keepNext w:val="0"/>
        <w:keepLines w:val="0"/>
        <w:widowControl/>
        <w:suppressLineNumbers w:val="0"/>
        <w:ind w:left="0" w:firstLine="960" w:firstLineChars="300"/>
        <w:rPr>
          <w:rFonts w:hint="default" w:ascii="仿宋_GB2312" w:hAnsi="宋体" w:eastAsia="仿宋_GB2312" w:cs="宋体"/>
          <w:kern w:val="0"/>
          <w:sz w:val="32"/>
          <w:szCs w:val="32"/>
        </w:rPr>
      </w:pPr>
      <w:r>
        <w:rPr>
          <w:rFonts w:hint="default" w:ascii="仿宋_GB2312" w:hAnsi="宋体" w:eastAsia="仿宋_GB2312" w:cs="仿宋_GB2312"/>
          <w:kern w:val="0"/>
          <w:sz w:val="32"/>
          <w:szCs w:val="32"/>
        </w:rPr>
        <w:t>海口市应急管理局</w:t>
      </w:r>
      <w:r>
        <w:rPr>
          <w:rFonts w:hint="default" w:ascii="仿宋_GB2312" w:hAnsi="宋体" w:eastAsia="仿宋_GB2312" w:cs="宋体"/>
          <w:kern w:val="0"/>
          <w:sz w:val="32"/>
          <w:szCs w:val="32"/>
        </w:rPr>
        <w:t>2022年项目支出绩效自评表（救灾物资储备及管理项目）</w:t>
      </w:r>
    </w:p>
    <w:p>
      <w:pPr>
        <w:keepNext w:val="0"/>
        <w:keepLines w:val="0"/>
        <w:widowControl/>
        <w:suppressLineNumbers w:val="0"/>
        <w:spacing w:before="0" w:beforeAutospacing="1" w:after="0" w:afterAutospacing="1" w:line="578"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（四）财政评价结果（无）。</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kern w:val="0"/>
          <w:sz w:val="32"/>
          <w:szCs w:val="32"/>
        </w:rPr>
      </w:pPr>
      <w:r>
        <w:rPr>
          <w:rFonts w:hint="eastAsia" w:ascii="黑体" w:hAnsi="宋体" w:eastAsia="黑体" w:cs="黑体"/>
          <w:kern w:val="0"/>
          <w:sz w:val="32"/>
          <w:szCs w:val="32"/>
        </w:rPr>
        <w:t>十一、其他重要事项情况说明。</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（一）机关运行经费支出情况。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2022年度海口市应急管理局</w:t>
      </w:r>
      <w:r>
        <w:rPr>
          <w:rFonts w:hint="eastAsia" w:ascii="仿宋_GB2312" w:hAnsi="ˎ̥" w:eastAsia="仿宋_GB2312" w:cs="仿宋_GB2312"/>
          <w:kern w:val="0"/>
          <w:sz w:val="32"/>
          <w:szCs w:val="32"/>
          <w:lang w:eastAsia="zh-CN"/>
        </w:rPr>
        <w:t>单位</w:t>
      </w:r>
      <w:r>
        <w:rPr>
          <w:rFonts w:hint="default" w:ascii="仿宋_GB2312" w:hAnsi="ˎ̥" w:eastAsia="仿宋_GB2312" w:cs="仿宋_GB2312"/>
          <w:kern w:val="0"/>
          <w:sz w:val="32"/>
          <w:szCs w:val="32"/>
        </w:rPr>
        <w:t>机关运行经费235.62万元（为部门决算中行政单位和参公事业单位财政拨款基本支出中公用经费支出之和，事业单位没有机关运行经费支出），比年初预算减少51.8万元，减少18.02%。主要原因是：办公费支出减少；培训费支出减少；资产运行维护支出减少；落实过紧日子要求压减三公经费支出等。</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（注：机关运行经费预算数字可取自</w:t>
      </w:r>
      <w:r>
        <w:rPr>
          <w:rFonts w:hint="eastAsia" w:ascii="仿宋_GB2312" w:hAnsi="ˎ̥" w:eastAsia="仿宋_GB2312" w:cs="仿宋_GB2312"/>
          <w:kern w:val="0"/>
          <w:sz w:val="32"/>
          <w:szCs w:val="32"/>
          <w:lang w:eastAsia="zh-CN"/>
        </w:rPr>
        <w:t>单位</w:t>
      </w:r>
      <w:r>
        <w:rPr>
          <w:rFonts w:hint="default" w:ascii="仿宋_GB2312" w:hAnsi="ˎ̥" w:eastAsia="仿宋_GB2312" w:cs="仿宋_GB2312"/>
          <w:kern w:val="0"/>
          <w:sz w:val="32"/>
          <w:szCs w:val="32"/>
        </w:rPr>
        <w:t>决算报表财决01-1表《财政拨款收入支出决算总表》，年初预算数-一般公共预算财政拨款-公用经费，注意</w:t>
      </w:r>
      <w:bookmarkStart w:id="0" w:name="_GoBack"/>
      <w:r>
        <w:rPr>
          <w:rFonts w:hint="default" w:ascii="仿宋_GB2312" w:hAnsi="ˎ̥" w:eastAsia="仿宋_GB2312" w:cs="仿宋_GB2312"/>
          <w:kern w:val="0"/>
          <w:sz w:val="32"/>
          <w:szCs w:val="32"/>
        </w:rPr>
        <w:t>部</w:t>
      </w:r>
      <w:bookmarkEnd w:id="0"/>
      <w:r>
        <w:rPr>
          <w:rFonts w:hint="default" w:ascii="仿宋_GB2312" w:hAnsi="ˎ̥" w:eastAsia="仿宋_GB2312" w:cs="仿宋_GB2312"/>
          <w:kern w:val="0"/>
          <w:sz w:val="32"/>
          <w:szCs w:val="32"/>
        </w:rPr>
        <w:t>门汇总公开决算时，因事业单位没有机关运行经费支出，故部门汇总的机关运行经费预算数应为部门所属的各行政单位或参公单位的汇总数；决算数字可取自2022年度部门决算报表F03表《机构运行信息表》</w:t>
      </w:r>
      <w:r>
        <w:rPr>
          <w:rFonts w:hint="default" w:ascii="ˎ̥" w:hAnsi="ˎ̥" w:eastAsia="ˎ̥" w:cs="ˎ̥"/>
          <w:kern w:val="0"/>
          <w:sz w:val="32"/>
          <w:szCs w:val="32"/>
        </w:rPr>
        <w:t>“</w:t>
      </w:r>
      <w:r>
        <w:rPr>
          <w:rFonts w:hint="default" w:ascii="仿宋_GB2312" w:hAnsi="ˎ̥" w:eastAsia="仿宋_GB2312" w:cs="仿宋_GB2312"/>
          <w:kern w:val="0"/>
          <w:sz w:val="32"/>
          <w:szCs w:val="32"/>
        </w:rPr>
        <w:t>机关运行经费</w:t>
      </w:r>
      <w:r>
        <w:rPr>
          <w:rFonts w:hint="default" w:ascii="ˎ̥" w:hAnsi="ˎ̥" w:eastAsia="ˎ̥" w:cs="ˎ̥"/>
          <w:kern w:val="0"/>
          <w:sz w:val="32"/>
          <w:szCs w:val="32"/>
        </w:rPr>
        <w:t>”</w:t>
      </w:r>
      <w:r>
        <w:rPr>
          <w:rFonts w:hint="default" w:ascii="仿宋_GB2312" w:hAnsi="ˎ̥" w:eastAsia="仿宋_GB2312" w:cs="仿宋_GB2312"/>
          <w:kern w:val="0"/>
          <w:sz w:val="32"/>
          <w:szCs w:val="32"/>
        </w:rPr>
        <w:t>栏。）</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（二）政府采购支出情况。</w:t>
      </w:r>
    </w:p>
    <w:p>
      <w:pPr>
        <w:keepNext w:val="0"/>
        <w:keepLines w:val="0"/>
        <w:widowControl/>
        <w:suppressLineNumbers w:val="0"/>
        <w:spacing w:before="0" w:beforeAutospacing="1" w:after="0" w:afterAutospacing="1"/>
        <w:ind w:left="0" w:right="0" w:firstLine="640" w:firstLineChars="200"/>
        <w:jc w:val="left"/>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2022年度海口市应急管理局单位政府采购支出总额1247.75万元，其中：政府采购货物支出458.85万元、政府采购工程支出355.50万元、政府采购服务支出433.40万元。授予中小企业合同金额0万元，占政府采购支出总额的0%，其中：授予小微企业合同金额0万元，占</w:t>
      </w:r>
      <w:r>
        <w:rPr>
          <w:rFonts w:hint="default" w:ascii="仿宋_GB2312" w:hAnsi="宋体" w:eastAsia="仿宋_GB2312" w:cs="仿宋_GB2312"/>
          <w:kern w:val="0"/>
          <w:sz w:val="32"/>
          <w:szCs w:val="32"/>
        </w:rPr>
        <w:t>授予中小企业合同金额的</w:t>
      </w:r>
      <w:r>
        <w:rPr>
          <w:rFonts w:hint="default" w:ascii="仿宋_GB2312" w:hAnsi="ˎ̥" w:eastAsia="仿宋_GB2312" w:cs="仿宋_GB2312"/>
          <w:kern w:val="0"/>
          <w:sz w:val="32"/>
          <w:szCs w:val="32"/>
        </w:rPr>
        <w:t>0%。</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（注：上述政府采购支出相关数字取自2022年度单位决算报表F03表《机构运行信息表》，授予中小企业和小微企业合同金额由各部门查阅本部门相关资料填写。）</w:t>
      </w:r>
    </w:p>
    <w:p>
      <w:pPr>
        <w:keepNext w:val="0"/>
        <w:keepLines w:val="0"/>
        <w:widowControl/>
        <w:suppressLineNumbers w:val="0"/>
        <w:spacing w:before="0" w:beforeAutospacing="1" w:after="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（三）国有资产占用情况。</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截至2022年12月31日，本单位拥有房屋面积3168.35平方米，其中：办公用房240.52平方米，业务用房2722.31平方米，其他（不含构筑物）205.52平方米。</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本单位共有车辆15辆，其中，副部（省）级及以上领导用车0辆、主要领导干部用车0辆、机要通信用车0辆、应急保障用车8辆、执法执勤用车5辆、特种专业技术用车2辆、离退休干部用车0辆、其他用车0辆。单价100万元（含）以上设备（不含车辆）7台（套）。</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年末在建工程1366.79万元。</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（注：上述国有资产占用情况相关数字取自2022年度单位决算F01表《预算支出相关信息表》、F03表《机构运行信息表》。）</w:t>
      </w:r>
    </w:p>
    <w:p>
      <w:pPr>
        <w:keepNext w:val="0"/>
        <w:keepLines w:val="0"/>
        <w:widowControl/>
        <w:suppressLineNumbers w:val="0"/>
        <w:spacing w:before="0" w:beforeAutospacing="1" w:after="0" w:afterAutospacing="1" w:line="578" w:lineRule="exact"/>
        <w:ind w:left="0" w:right="0" w:firstLine="640" w:firstLineChars="200"/>
        <w:jc w:val="center"/>
        <w:rPr>
          <w:rFonts w:hint="eastAsia" w:ascii="黑体" w:hAnsi="ˎ̥" w:eastAsia="黑体" w:cs="黑体"/>
          <w:kern w:val="0"/>
          <w:sz w:val="32"/>
          <w:szCs w:val="32"/>
        </w:rPr>
      </w:pPr>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p>
    <w:p>
      <w:pPr>
        <w:keepNext w:val="0"/>
        <w:keepLines w:val="0"/>
        <w:widowControl/>
        <w:suppressLineNumbers w:val="0"/>
        <w:spacing w:before="0" w:beforeAutospacing="1" w:after="0" w:afterAutospacing="1"/>
        <w:ind w:left="0" w:right="0"/>
        <w:jc w:val="center"/>
        <w:rPr>
          <w:rFonts w:hint="eastAsia" w:ascii="黑体" w:hAnsi="ˎ̥" w:eastAsia="黑体" w:cs="黑体"/>
          <w:kern w:val="0"/>
          <w:sz w:val="32"/>
          <w:szCs w:val="32"/>
        </w:rPr>
      </w:pPr>
      <w:r>
        <w:rPr>
          <w:rFonts w:hint="eastAsia" w:ascii="黑体" w:hAnsi="ˎ̥" w:eastAsia="黑体" w:cs="黑体"/>
          <w:kern w:val="0"/>
          <w:sz w:val="32"/>
          <w:szCs w:val="32"/>
        </w:rPr>
        <w:t xml:space="preserve"> </w:t>
      </w:r>
    </w:p>
    <w:p>
      <w:pPr>
        <w:keepNext w:val="0"/>
        <w:keepLines w:val="0"/>
        <w:widowControl/>
        <w:numPr>
          <w:ilvl w:val="0"/>
          <w:numId w:val="4"/>
        </w:numPr>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财政拨款收入：指同级政府财政部门当年拨付的各类财政拨款。</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三、事业收入：指事业单位开展专业业务活动及辅助活动取得的收入。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五、附属单位上缴收入：指事业单位取得附属独立核算单位根据有关规定上缴的收入。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六、其他收入：指除上述“财政拨款收入</w:t>
      </w:r>
      <w:r>
        <w:rPr>
          <w:rFonts w:hint="default" w:ascii="ˎ̥" w:hAnsi="ˎ̥" w:eastAsia="ˎ̥" w:cs="ˎ̥"/>
          <w:kern w:val="0"/>
          <w:sz w:val="32"/>
          <w:szCs w:val="32"/>
        </w:rPr>
        <w:t>”“</w:t>
      </w:r>
      <w:r>
        <w:rPr>
          <w:rFonts w:hint="default" w:ascii="仿宋_GB2312" w:hAnsi="ˎ̥" w:eastAsia="仿宋_GB2312" w:cs="仿宋_GB2312"/>
          <w:kern w:val="0"/>
          <w:sz w:val="32"/>
          <w:szCs w:val="32"/>
        </w:rPr>
        <w:t>事业收入</w:t>
      </w:r>
      <w:r>
        <w:rPr>
          <w:rFonts w:hint="default" w:ascii="ˎ̥" w:hAnsi="ˎ̥" w:eastAsia="ˎ̥" w:cs="ˎ̥"/>
          <w:kern w:val="0"/>
          <w:sz w:val="32"/>
          <w:szCs w:val="32"/>
        </w:rPr>
        <w:t>”“</w:t>
      </w:r>
      <w:r>
        <w:rPr>
          <w:rFonts w:hint="default" w:ascii="仿宋_GB2312" w:hAnsi="ˎ̥" w:eastAsia="仿宋_GB2312" w:cs="仿宋_GB2312"/>
          <w:kern w:val="0"/>
          <w:sz w:val="32"/>
          <w:szCs w:val="32"/>
        </w:rPr>
        <w:t>上级补助收入</w:t>
      </w:r>
      <w:r>
        <w:rPr>
          <w:rFonts w:hint="default" w:ascii="ˎ̥" w:hAnsi="ˎ̥" w:eastAsia="ˎ̥" w:cs="ˎ̥"/>
          <w:kern w:val="0"/>
          <w:sz w:val="32"/>
          <w:szCs w:val="32"/>
        </w:rPr>
        <w:t>”“</w:t>
      </w:r>
      <w:r>
        <w:rPr>
          <w:rFonts w:hint="default" w:ascii="仿宋_GB2312" w:hAnsi="ˎ̥" w:eastAsia="仿宋_GB2312" w:cs="仿宋_GB2312"/>
          <w:kern w:val="0"/>
          <w:sz w:val="32"/>
          <w:szCs w:val="32"/>
        </w:rPr>
        <w:t>经营收入</w:t>
      </w:r>
      <w:r>
        <w:rPr>
          <w:rFonts w:hint="default" w:ascii="ˎ̥" w:hAnsi="ˎ̥" w:eastAsia="ˎ̥" w:cs="ˎ̥"/>
          <w:kern w:val="0"/>
          <w:sz w:val="32"/>
          <w:szCs w:val="32"/>
        </w:rPr>
        <w:t>”“</w:t>
      </w:r>
      <w:r>
        <w:rPr>
          <w:rFonts w:hint="default" w:ascii="仿宋_GB2312" w:hAnsi="ˎ̥" w:eastAsia="仿宋_GB2312" w:cs="仿宋_GB2312"/>
          <w:kern w:val="0"/>
          <w:sz w:val="32"/>
          <w:szCs w:val="32"/>
        </w:rPr>
        <w:t>附属单位上缴收入</w:t>
      </w:r>
      <w:r>
        <w:rPr>
          <w:rFonts w:hint="default" w:ascii="ˎ̥" w:hAnsi="ˎ̥" w:eastAsia="ˎ̥" w:cs="ˎ̥"/>
          <w:kern w:val="0"/>
          <w:sz w:val="32"/>
          <w:szCs w:val="32"/>
        </w:rPr>
        <w:t>”</w:t>
      </w:r>
      <w:r>
        <w:rPr>
          <w:rFonts w:hint="default" w:ascii="仿宋_GB2312" w:hAnsi="ˎ̥" w:eastAsia="仿宋_GB2312" w:cs="仿宋_GB2312"/>
          <w:kern w:val="0"/>
          <w:sz w:val="32"/>
          <w:szCs w:val="32"/>
        </w:rPr>
        <w:t>等以外的收入。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七、使用非财政拨款结余：指事业单位在当年的“财政拨款收入</w:t>
      </w:r>
      <w:r>
        <w:rPr>
          <w:rFonts w:hint="default" w:ascii="ˎ̥" w:hAnsi="ˎ̥" w:eastAsia="ˎ̥" w:cs="ˎ̥"/>
          <w:kern w:val="0"/>
          <w:sz w:val="32"/>
          <w:szCs w:val="32"/>
        </w:rPr>
        <w:t>”“</w:t>
      </w:r>
      <w:r>
        <w:rPr>
          <w:rFonts w:hint="default" w:ascii="仿宋_GB2312" w:hAnsi="ˎ̥" w:eastAsia="仿宋_GB2312" w:cs="仿宋_GB2312"/>
          <w:kern w:val="0"/>
          <w:sz w:val="32"/>
          <w:szCs w:val="32"/>
        </w:rPr>
        <w:t>事业收入</w:t>
      </w:r>
      <w:r>
        <w:rPr>
          <w:rFonts w:hint="default" w:ascii="ˎ̥" w:hAnsi="ˎ̥" w:eastAsia="ˎ̥" w:cs="ˎ̥"/>
          <w:kern w:val="0"/>
          <w:sz w:val="32"/>
          <w:szCs w:val="32"/>
        </w:rPr>
        <w:t>”“</w:t>
      </w:r>
      <w:r>
        <w:rPr>
          <w:rFonts w:hint="default" w:ascii="仿宋_GB2312" w:hAnsi="ˎ̥" w:eastAsia="仿宋_GB2312" w:cs="仿宋_GB2312"/>
          <w:kern w:val="0"/>
          <w:sz w:val="32"/>
          <w:szCs w:val="32"/>
        </w:rPr>
        <w:t>经营收入</w:t>
      </w:r>
      <w:r>
        <w:rPr>
          <w:rFonts w:hint="default" w:ascii="ˎ̥" w:hAnsi="ˎ̥" w:eastAsia="ˎ̥" w:cs="ˎ̥"/>
          <w:kern w:val="0"/>
          <w:sz w:val="32"/>
          <w:szCs w:val="32"/>
        </w:rPr>
        <w:t>”“</w:t>
      </w:r>
      <w:r>
        <w:rPr>
          <w:rFonts w:hint="default" w:ascii="仿宋_GB2312" w:hAnsi="ˎ̥" w:eastAsia="仿宋_GB2312" w:cs="仿宋_GB2312"/>
          <w:kern w:val="0"/>
          <w:sz w:val="32"/>
          <w:szCs w:val="32"/>
        </w:rPr>
        <w:t>其他收入</w:t>
      </w:r>
      <w:r>
        <w:rPr>
          <w:rFonts w:hint="default" w:ascii="ˎ̥" w:hAnsi="ˎ̥" w:eastAsia="ˎ̥" w:cs="ˎ̥"/>
          <w:kern w:val="0"/>
          <w:sz w:val="32"/>
          <w:szCs w:val="32"/>
        </w:rPr>
        <w:t>”</w:t>
      </w:r>
      <w:r>
        <w:rPr>
          <w:rFonts w:hint="default" w:ascii="仿宋_GB2312" w:hAnsi="ˎ̥" w:eastAsia="仿宋_GB2312" w:cs="仿宋_GB2312"/>
          <w:kern w:val="0"/>
          <w:sz w:val="32"/>
          <w:szCs w:val="32"/>
        </w:rPr>
        <w:t>等不足以安排当年支出的情况下，使用非同级财政拨款结余资金弥补本年度收支缺口。</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八、年初结转和结余：指以前年度尚未完成、结转到本年按有关规定继续使用的资金，或项目已完成等产生的结余资金。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九、结余分配：指事业单位缴纳企业所得税以及从非财政拨款结余或经营结余中提取各类结余的情况。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十一、基本支出：指为保障机构正常运转、完成日常工作任务而发生的人员支出和公用支出。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十二、项目支出：指在基本支出之外为完成特定行政任务和事业发展目标所发生的支出。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十三、经营支出：指事业单位在专业业务活动及其辅助活动之外开展非独立核算经营活动发生的支出。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十四、“三公</w:t>
      </w:r>
      <w:r>
        <w:rPr>
          <w:rFonts w:hint="default" w:ascii="ˎ̥" w:hAnsi="ˎ̥" w:eastAsia="ˎ̥" w:cs="ˎ̥"/>
          <w:kern w:val="0"/>
          <w:sz w:val="32"/>
          <w:szCs w:val="32"/>
        </w:rPr>
        <w:t>”</w:t>
      </w:r>
      <w:r>
        <w:rPr>
          <w:rFonts w:hint="default" w:ascii="仿宋_GB2312" w:hAnsi="ˎ̥" w:eastAsia="仿宋_GB2312" w:cs="仿宋_GB2312"/>
          <w:kern w:val="0"/>
          <w:sz w:val="32"/>
          <w:szCs w:val="32"/>
        </w:rPr>
        <w:t>经费：纳入本级财政预决算管理的</w:t>
      </w:r>
      <w:r>
        <w:rPr>
          <w:rFonts w:hint="default" w:ascii="ˎ̥" w:hAnsi="ˎ̥" w:eastAsia="ˎ̥" w:cs="ˎ̥"/>
          <w:kern w:val="0"/>
          <w:sz w:val="32"/>
          <w:szCs w:val="32"/>
        </w:rPr>
        <w:t>“</w:t>
      </w:r>
      <w:r>
        <w:rPr>
          <w:rFonts w:hint="default" w:ascii="仿宋_GB2312" w:hAnsi="ˎ̥" w:eastAsia="仿宋_GB2312" w:cs="仿宋_GB2312"/>
          <w:kern w:val="0"/>
          <w:sz w:val="32"/>
          <w:szCs w:val="32"/>
        </w:rPr>
        <w:t>三公</w:t>
      </w:r>
      <w:r>
        <w:rPr>
          <w:rFonts w:hint="default" w:ascii="ˎ̥" w:hAnsi="ˎ̥" w:eastAsia="ˎ̥" w:cs="ˎ̥"/>
          <w:kern w:val="0"/>
          <w:sz w:val="32"/>
          <w:szCs w:val="32"/>
        </w:rPr>
        <w:t>”</w:t>
      </w:r>
      <w:r>
        <w:rPr>
          <w:rFonts w:hint="default" w:ascii="仿宋_GB2312" w:hAnsi="ˎ̥" w:eastAsia="仿宋_GB2312" w:cs="仿宋_GB2312"/>
          <w:kern w:val="0"/>
          <w:sz w:val="32"/>
          <w:szCs w:val="32"/>
        </w:rPr>
        <w:t>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1" w:after="0" w:afterAutospacing="1"/>
        <w:ind w:left="0" w:right="0" w:firstLine="645"/>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0" w:beforeAutospacing="1" w:after="0" w:afterAutospacing="1"/>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headerReference r:id="rId3" w:type="default"/>
      <w:footerReference r:id="rId4" w:type="default"/>
      <w:pgSz w:w="11915" w:h="16851"/>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widowControl/>
      <w:suppressLineNumbers w:val="0"/>
      <w:rPr>
        <w:rFonts w:hint="eastAsia" w:ascii="宋体" w:hAnsi="宋体" w:eastAsia="宋体" w:cs="宋体"/>
        <w:kern w:val="0"/>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kern w:val="0"/>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widowControl/>
      <w:suppressLineNumbers w:val="0"/>
      <w:rPr>
        <w:rFonts w:hint="eastAsia" w:ascii="宋体" w:hAnsi="宋体" w:eastAsia="宋体" w:cs="宋体"/>
        <w:kern w:val="0"/>
        <w:sz w:val="18"/>
        <w:szCs w:val="18"/>
      </w:rPr>
    </w:pPr>
    <w:r>
      <w:rPr>
        <w:rFonts w:hint="eastAsia" w:ascii="宋体" w:hAnsi="宋体" w:eastAsia="宋体" w:cs="宋体"/>
        <w:kern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5E41D"/>
    <w:multiLevelType w:val="multilevel"/>
    <w:tmpl w:val="A3E5E41D"/>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B213B456"/>
    <w:multiLevelType w:val="multilevel"/>
    <w:tmpl w:val="B213B45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68F45E09"/>
    <w:multiLevelType w:val="multilevel"/>
    <w:tmpl w:val="68F45E09"/>
    <w:lvl w:ilvl="0" w:tentative="0">
      <w:start w:val="1"/>
      <w:numFmt w:val="decimal"/>
      <w:suff w:val="space"/>
      <w:lvlText w:val="%1."/>
      <w:lvlJc w:val="left"/>
      <w:pPr>
        <w:tabs>
          <w:tab w:val="left" w:pos="0"/>
        </w:tabs>
        <w:ind w:left="-1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6CD16CA0"/>
    <w:multiLevelType w:val="multilevel"/>
    <w:tmpl w:val="6CD16CA0"/>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F5E3E"/>
    <w:rsid w:val="12DE3E61"/>
    <w:rsid w:val="227B4256"/>
    <w:rsid w:val="5F734CE4"/>
    <w:rsid w:val="64C04F27"/>
    <w:rsid w:val="74FB0342"/>
    <w:rsid w:val="7E6B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6">
    <w:name w:val="heading 4"/>
    <w:basedOn w:val="1"/>
    <w:next w:val="1"/>
    <w:qFormat/>
    <w:uiPriority w:val="0"/>
    <w:pPr>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7">
    <w:name w:val="heading 5"/>
    <w:basedOn w:val="1"/>
    <w:next w:val="1"/>
    <w:qFormat/>
    <w:uiPriority w:val="0"/>
    <w:pPr>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8">
    <w:name w:val="heading 6"/>
    <w:basedOn w:val="1"/>
    <w:next w:val="1"/>
    <w:qFormat/>
    <w:uiPriority w:val="0"/>
    <w:pPr>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6">
    <w:name w:val="Default Paragraph Font"/>
    <w:semiHidden/>
    <w:unhideWhenUsed/>
    <w:qFormat/>
    <w:uiPriority w:val="99"/>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qFormat/>
    <w:uiPriority w:val="0"/>
    <w:pPr>
      <w:spacing w:before="0" w:beforeAutospacing="0" w:after="0" w:afterAutospacing="0"/>
      <w:ind w:left="0" w:right="0" w:firstLine="420"/>
      <w:jc w:val="left"/>
    </w:pPr>
    <w:rPr>
      <w:rFonts w:hint="eastAsia" w:ascii="Times New Roman" w:hAnsi="Times New Roman" w:eastAsia="宋体" w:cs="Times New Roman"/>
      <w:kern w:val="0"/>
      <w:sz w:val="24"/>
      <w:szCs w:val="24"/>
      <w:lang w:val="en-US" w:eastAsia="zh-CN" w:bidi="ar"/>
    </w:rPr>
  </w:style>
  <w:style w:type="paragraph" w:styleId="9">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both"/>
    </w:pPr>
    <w:rPr>
      <w:rFonts w:hint="eastAsia" w:ascii="宋体" w:hAnsi="宋体" w:eastAsia="宋体" w:cs="宋体"/>
      <w:kern w:val="0"/>
      <w:sz w:val="18"/>
      <w:szCs w:val="18"/>
      <w:lang w:val="en-US" w:eastAsia="zh-CN" w:bidi="ar"/>
    </w:rPr>
  </w:style>
  <w:style w:type="paragraph" w:styleId="11">
    <w:name w:val="toc 1"/>
    <w:basedOn w:val="1"/>
    <w:next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2">
    <w:name w:val="toc 2"/>
    <w:basedOn w:val="1"/>
    <w:next w:val="1"/>
    <w:qFormat/>
    <w:uiPriority w:val="0"/>
    <w:pPr>
      <w:spacing w:before="0" w:beforeAutospacing="0" w:after="0" w:afterAutospacing="0"/>
      <w:ind w:left="420" w:leftChars="200" w:right="0"/>
      <w:jc w:val="left"/>
    </w:pPr>
    <w:rPr>
      <w:rFonts w:hint="eastAsia" w:ascii="宋体" w:hAnsi="宋体" w:eastAsia="宋体" w:cs="宋体"/>
      <w:kern w:val="0"/>
      <w:sz w:val="24"/>
      <w:szCs w:val="24"/>
      <w:lang w:val="en-US" w:eastAsia="zh-CN" w:bidi="ar"/>
    </w:rPr>
  </w:style>
  <w:style w:type="paragraph" w:styleId="1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16"/>
    <w:basedOn w:val="16"/>
    <w:uiPriority w:val="0"/>
    <w:rPr>
      <w:rFonts w:hint="default" w:ascii="Times New Roman" w:hAnsi="Times New Roman" w:cs="Times New Roman"/>
    </w:rPr>
  </w:style>
  <w:style w:type="character" w:customStyle="1" w:styleId="18">
    <w:name w:val="21"/>
    <w:basedOn w:val="16"/>
    <w:uiPriority w:val="0"/>
    <w:rPr>
      <w:rFonts w:hint="default" w:ascii="Times New Roman" w:hAnsi="Times New Roman" w:cs="Times New Roman"/>
    </w:rPr>
  </w:style>
  <w:style w:type="character" w:customStyle="1" w:styleId="19">
    <w:name w:val="31"/>
    <w:basedOn w:val="16"/>
    <w:uiPriority w:val="0"/>
    <w:rPr>
      <w:rFonts w:hint="default" w:ascii="Times New Roman" w:hAnsi="Times New Roman" w:cs="Times New Roman"/>
    </w:rPr>
  </w:style>
  <w:style w:type="character" w:customStyle="1" w:styleId="20">
    <w:name w:val="15"/>
    <w:basedOn w:val="16"/>
    <w:uiPriority w:val="0"/>
    <w:rPr>
      <w:rFonts w:hint="default" w:ascii="Times New Roman" w:hAnsi="Times New Roman" w:cs="Times New Roman"/>
    </w:rPr>
  </w:style>
  <w:style w:type="character" w:customStyle="1" w:styleId="21">
    <w:name w:val="23"/>
    <w:basedOn w:val="16"/>
    <w:uiPriority w:val="0"/>
    <w:rPr>
      <w:rFonts w:hint="default" w:ascii="Times New Roman" w:hAnsi="Times New Roman" w:cs="Times New Roman"/>
      <w:color w:val="0000FF"/>
      <w:u w:val="single"/>
    </w:rPr>
  </w:style>
  <w:style w:type="character" w:customStyle="1" w:styleId="22">
    <w:name w:val="43"/>
    <w:basedOn w:val="16"/>
    <w:uiPriority w:val="0"/>
    <w:rPr>
      <w:rFonts w:hint="default" w:ascii="Times New Roman" w:hAnsi="Times New Roman" w:cs="Times New Roman"/>
    </w:rPr>
  </w:style>
  <w:style w:type="character" w:customStyle="1" w:styleId="23">
    <w:name w:val="44"/>
    <w:basedOn w:val="16"/>
    <w:uiPriority w:val="0"/>
    <w:rPr>
      <w:rFonts w:hint="default" w:ascii="Times New Roman" w:hAnsi="Times New Roman" w:cs="Times New Roman"/>
    </w:rPr>
  </w:style>
  <w:style w:type="character" w:customStyle="1" w:styleId="24">
    <w:name w:val="28"/>
    <w:basedOn w:val="16"/>
    <w:uiPriority w:val="0"/>
    <w:rPr>
      <w:rFonts w:hint="default" w:ascii="Times New Roman" w:hAnsi="Times New Roman" w:cs="Times New Roman"/>
      <w:color w:val="0000FF"/>
      <w:u w:val="single"/>
    </w:rPr>
  </w:style>
  <w:style w:type="character" w:customStyle="1" w:styleId="25">
    <w:name w:val="56"/>
    <w:basedOn w:val="16"/>
    <w:uiPriority w:val="0"/>
    <w:rPr>
      <w:rFonts w:hint="default" w:ascii="Times New Roman" w:hAnsi="Times New Roman" w:cs="Times New Roman"/>
      <w:color w:val="0000FF"/>
      <w:u w:val="single"/>
    </w:rPr>
  </w:style>
  <w:style w:type="paragraph" w:customStyle="1" w:styleId="26">
    <w:name w:val="HTML 预设格式 Char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7">
    <w:name w:val="35"/>
    <w:basedOn w:val="16"/>
    <w:uiPriority w:val="0"/>
    <w:rPr>
      <w:rFonts w:hint="default" w:ascii="Times New Roman" w:hAnsi="Times New Roman" w:cs="Times New Roman"/>
      <w:color w:val="0000FF"/>
      <w:u w:val="single"/>
    </w:rPr>
  </w:style>
  <w:style w:type="character" w:customStyle="1" w:styleId="28">
    <w:name w:val="49"/>
    <w:basedOn w:val="16"/>
    <w:uiPriority w:val="0"/>
    <w:rPr>
      <w:rFonts w:hint="default" w:ascii="Times New Roman" w:hAnsi="Times New Roman" w:cs="Times New Roman"/>
    </w:rPr>
  </w:style>
  <w:style w:type="paragraph" w:customStyle="1" w:styleId="29">
    <w:name w:val="普通(网站) Char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0">
    <w:name w:val="26"/>
    <w:basedOn w:val="16"/>
    <w:uiPriority w:val="0"/>
    <w:rPr>
      <w:rFonts w:hint="default" w:ascii="Times New Roman" w:hAnsi="Times New Roman" w:cs="Times New Roman"/>
    </w:rPr>
  </w:style>
  <w:style w:type="character" w:customStyle="1" w:styleId="31">
    <w:name w:val="33"/>
    <w:basedOn w:val="16"/>
    <w:uiPriority w:val="0"/>
    <w:rPr>
      <w:rFonts w:hint="default" w:ascii="Times New Roman" w:hAnsi="Times New Roman" w:cs="Times New Roman"/>
    </w:rPr>
  </w:style>
  <w:style w:type="character" w:customStyle="1" w:styleId="32">
    <w:name w:val="22"/>
    <w:basedOn w:val="16"/>
    <w:uiPriority w:val="0"/>
    <w:rPr>
      <w:rFonts w:hint="default" w:ascii="Times New Roman" w:hAnsi="Times New Roman" w:cs="Times New Roman"/>
    </w:rPr>
  </w:style>
  <w:style w:type="character" w:customStyle="1" w:styleId="33">
    <w:name w:val="10"/>
    <w:basedOn w:val="16"/>
    <w:uiPriority w:val="0"/>
    <w:rPr>
      <w:rFonts w:hint="default" w:ascii="Times New Roman" w:hAnsi="Times New Roman" w:cs="Times New Roman"/>
    </w:rPr>
  </w:style>
  <w:style w:type="paragraph" w:customStyle="1" w:styleId="34">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35">
    <w:name w:val="46"/>
    <w:basedOn w:val="16"/>
    <w:uiPriority w:val="0"/>
    <w:rPr>
      <w:rFonts w:hint="default" w:ascii="Times New Roman" w:hAnsi="Times New Roman" w:cs="Times New Roman"/>
    </w:rPr>
  </w:style>
  <w:style w:type="character" w:customStyle="1" w:styleId="36">
    <w:name w:val="17"/>
    <w:basedOn w:val="16"/>
    <w:uiPriority w:val="0"/>
    <w:rPr>
      <w:rFonts w:hint="default" w:ascii="Times New Roman" w:hAnsi="Times New Roman" w:cs="Times New Roman"/>
      <w:color w:val="0000FF"/>
      <w:u w:val="single"/>
    </w:rPr>
  </w:style>
  <w:style w:type="paragraph" w:customStyle="1" w:styleId="37">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8">
    <w:name w:val="18"/>
    <w:basedOn w:val="16"/>
    <w:uiPriority w:val="0"/>
    <w:rPr>
      <w:rFonts w:hint="default" w:ascii="Times New Roman" w:hAnsi="Times New Roman" w:cs="Times New Roman"/>
    </w:rPr>
  </w:style>
  <w:style w:type="character" w:customStyle="1" w:styleId="39">
    <w:name w:val="42"/>
    <w:basedOn w:val="16"/>
    <w:uiPriority w:val="0"/>
    <w:rPr>
      <w:rFonts w:hint="default" w:ascii="Times New Roman" w:hAnsi="Times New Roman" w:cs="Times New Roman"/>
    </w:rPr>
  </w:style>
  <w:style w:type="character" w:customStyle="1" w:styleId="40">
    <w:name w:val="19"/>
    <w:basedOn w:val="16"/>
    <w:uiPriority w:val="0"/>
    <w:rPr>
      <w:rFonts w:hint="default" w:ascii="Times New Roman" w:hAnsi="Times New Roman" w:cs="Times New Roman"/>
    </w:rPr>
  </w:style>
  <w:style w:type="character" w:customStyle="1" w:styleId="41">
    <w:name w:val="24"/>
    <w:basedOn w:val="16"/>
    <w:uiPriority w:val="0"/>
    <w:rPr>
      <w:rFonts w:hint="default" w:ascii="Times New Roman" w:hAnsi="Times New Roman" w:cs="Times New Roman"/>
    </w:rPr>
  </w:style>
  <w:style w:type="character" w:customStyle="1" w:styleId="42">
    <w:name w:val="20"/>
    <w:basedOn w:val="16"/>
    <w:uiPriority w:val="0"/>
    <w:rPr>
      <w:rFonts w:hint="default" w:ascii="Times New Roman" w:hAnsi="Times New Roman" w:cs="Times New Roman"/>
    </w:rPr>
  </w:style>
  <w:style w:type="character" w:customStyle="1" w:styleId="43">
    <w:name w:val="25"/>
    <w:basedOn w:val="16"/>
    <w:qFormat/>
    <w:uiPriority w:val="0"/>
    <w:rPr>
      <w:rFonts w:hint="default" w:ascii="Times New Roman" w:hAnsi="Times New Roman" w:cs="Times New Roman"/>
    </w:rPr>
  </w:style>
  <w:style w:type="character" w:customStyle="1" w:styleId="44">
    <w:name w:val="36"/>
    <w:basedOn w:val="16"/>
    <w:qFormat/>
    <w:uiPriority w:val="0"/>
    <w:rPr>
      <w:rFonts w:hint="default" w:ascii="Times New Roman" w:hAnsi="Times New Roman" w:cs="Times New Roman"/>
    </w:rPr>
  </w:style>
  <w:style w:type="character" w:customStyle="1" w:styleId="45">
    <w:name w:val="27"/>
    <w:basedOn w:val="16"/>
    <w:qFormat/>
    <w:uiPriority w:val="0"/>
    <w:rPr>
      <w:rFonts w:hint="default" w:ascii="Times New Roman" w:hAnsi="Times New Roman" w:cs="Times New Roman"/>
      <w:color w:val="0000FF"/>
      <w:u w:val="single"/>
    </w:rPr>
  </w:style>
  <w:style w:type="character" w:customStyle="1" w:styleId="46">
    <w:name w:val="34"/>
    <w:basedOn w:val="16"/>
    <w:qFormat/>
    <w:uiPriority w:val="0"/>
    <w:rPr>
      <w:rFonts w:hint="default" w:ascii="Times New Roman" w:hAnsi="Times New Roman" w:cs="Times New Roman"/>
    </w:rPr>
  </w:style>
  <w:style w:type="character" w:customStyle="1" w:styleId="47">
    <w:name w:val="37"/>
    <w:basedOn w:val="16"/>
    <w:qFormat/>
    <w:uiPriority w:val="0"/>
    <w:rPr>
      <w:rFonts w:hint="default" w:ascii="Times New Roman" w:hAnsi="Times New Roman" w:cs="Times New Roman"/>
    </w:rPr>
  </w:style>
  <w:style w:type="character" w:customStyle="1" w:styleId="48">
    <w:name w:val="52"/>
    <w:basedOn w:val="16"/>
    <w:qFormat/>
    <w:uiPriority w:val="0"/>
    <w:rPr>
      <w:rFonts w:hint="default" w:ascii="Times New Roman" w:hAnsi="Times New Roman" w:cs="Times New Roman"/>
    </w:rPr>
  </w:style>
  <w:style w:type="character" w:customStyle="1" w:styleId="49">
    <w:name w:val="29"/>
    <w:basedOn w:val="16"/>
    <w:qFormat/>
    <w:uiPriority w:val="0"/>
    <w:rPr>
      <w:rFonts w:hint="default" w:ascii="Times New Roman" w:hAnsi="Times New Roman" w:cs="Times New Roman"/>
      <w:color w:val="0000FF"/>
      <w:u w:val="single"/>
    </w:rPr>
  </w:style>
  <w:style w:type="character" w:customStyle="1" w:styleId="50">
    <w:name w:val="53"/>
    <w:basedOn w:val="16"/>
    <w:qFormat/>
    <w:uiPriority w:val="0"/>
    <w:rPr>
      <w:rFonts w:hint="default" w:ascii="Times New Roman" w:hAnsi="Times New Roman" w:cs="Times New Roman"/>
      <w:color w:val="0000FF"/>
      <w:u w:val="single"/>
    </w:rPr>
  </w:style>
  <w:style w:type="character" w:customStyle="1" w:styleId="51">
    <w:name w:val="30"/>
    <w:basedOn w:val="16"/>
    <w:qFormat/>
    <w:uiPriority w:val="0"/>
    <w:rPr>
      <w:rFonts w:hint="default" w:ascii="Times New Roman" w:hAnsi="Times New Roman" w:cs="Times New Roman"/>
    </w:rPr>
  </w:style>
  <w:style w:type="character" w:customStyle="1" w:styleId="52">
    <w:name w:val="32"/>
    <w:basedOn w:val="16"/>
    <w:qFormat/>
    <w:uiPriority w:val="0"/>
    <w:rPr>
      <w:rFonts w:hint="default" w:ascii="Times New Roman" w:hAnsi="Times New Roman" w:cs="Times New Roman"/>
    </w:rPr>
  </w:style>
  <w:style w:type="character" w:customStyle="1" w:styleId="53">
    <w:name w:val="38"/>
    <w:basedOn w:val="16"/>
    <w:qFormat/>
    <w:uiPriority w:val="0"/>
    <w:rPr>
      <w:rFonts w:hint="default" w:ascii="Times New Roman" w:hAnsi="Times New Roman" w:cs="Times New Roman"/>
      <w:color w:val="0000FF"/>
      <w:u w:val="single"/>
    </w:rPr>
  </w:style>
  <w:style w:type="character" w:customStyle="1" w:styleId="54">
    <w:name w:val="51"/>
    <w:basedOn w:val="16"/>
    <w:qFormat/>
    <w:uiPriority w:val="0"/>
    <w:rPr>
      <w:rFonts w:hint="default" w:ascii="Times New Roman" w:hAnsi="Times New Roman" w:cs="Times New Roman"/>
      <w:color w:val="0000FF"/>
      <w:u w:val="single"/>
    </w:rPr>
  </w:style>
  <w:style w:type="character" w:customStyle="1" w:styleId="55">
    <w:name w:val="39"/>
    <w:basedOn w:val="16"/>
    <w:qFormat/>
    <w:uiPriority w:val="0"/>
    <w:rPr>
      <w:rFonts w:hint="default" w:ascii="Times New Roman" w:hAnsi="Times New Roman" w:cs="Times New Roman"/>
    </w:rPr>
  </w:style>
  <w:style w:type="character" w:customStyle="1" w:styleId="56">
    <w:name w:val="40"/>
    <w:basedOn w:val="16"/>
    <w:qFormat/>
    <w:uiPriority w:val="0"/>
    <w:rPr>
      <w:rFonts w:hint="default" w:ascii="Times New Roman" w:hAnsi="Times New Roman" w:cs="Times New Roman"/>
    </w:rPr>
  </w:style>
  <w:style w:type="character" w:customStyle="1" w:styleId="57">
    <w:name w:val="41"/>
    <w:basedOn w:val="16"/>
    <w:qFormat/>
    <w:uiPriority w:val="0"/>
    <w:rPr>
      <w:rFonts w:hint="default" w:ascii="Times New Roman" w:hAnsi="Times New Roman" w:cs="Times New Roman"/>
    </w:rPr>
  </w:style>
  <w:style w:type="character" w:customStyle="1" w:styleId="58">
    <w:name w:val="45"/>
    <w:basedOn w:val="16"/>
    <w:qFormat/>
    <w:uiPriority w:val="0"/>
    <w:rPr>
      <w:rFonts w:hint="default" w:ascii="Times New Roman" w:hAnsi="Times New Roman" w:cs="Times New Roman"/>
    </w:rPr>
  </w:style>
  <w:style w:type="character" w:customStyle="1" w:styleId="59">
    <w:name w:val="48"/>
    <w:basedOn w:val="16"/>
    <w:qFormat/>
    <w:uiPriority w:val="0"/>
    <w:rPr>
      <w:rFonts w:hint="default" w:ascii="Times New Roman" w:hAnsi="Times New Roman" w:cs="Times New Roman"/>
    </w:rPr>
  </w:style>
  <w:style w:type="character" w:customStyle="1" w:styleId="60">
    <w:name w:val="60"/>
    <w:basedOn w:val="16"/>
    <w:qFormat/>
    <w:uiPriority w:val="0"/>
    <w:rPr>
      <w:rFonts w:hint="default" w:ascii="Times New Roman" w:hAnsi="Times New Roman" w:cs="Times New Roman"/>
    </w:rPr>
  </w:style>
  <w:style w:type="character" w:customStyle="1" w:styleId="61">
    <w:name w:val="47"/>
    <w:basedOn w:val="16"/>
    <w:qFormat/>
    <w:uiPriority w:val="0"/>
    <w:rPr>
      <w:rFonts w:hint="default" w:ascii="Times New Roman" w:hAnsi="Times New Roman" w:cs="Times New Roman"/>
      <w:color w:val="0000FF"/>
      <w:u w:val="single"/>
    </w:rPr>
  </w:style>
  <w:style w:type="character" w:customStyle="1" w:styleId="62">
    <w:name w:val="50"/>
    <w:basedOn w:val="16"/>
    <w:qFormat/>
    <w:uiPriority w:val="0"/>
    <w:rPr>
      <w:rFonts w:hint="default" w:ascii="Times New Roman" w:hAnsi="Times New Roman" w:cs="Times New Roman"/>
    </w:rPr>
  </w:style>
  <w:style w:type="character" w:customStyle="1" w:styleId="63">
    <w:name w:val="54"/>
    <w:basedOn w:val="16"/>
    <w:qFormat/>
    <w:uiPriority w:val="0"/>
    <w:rPr>
      <w:rFonts w:hint="default" w:ascii="Times New Roman" w:hAnsi="Times New Roman" w:cs="Times New Roman"/>
    </w:rPr>
  </w:style>
  <w:style w:type="character" w:customStyle="1" w:styleId="64">
    <w:name w:val="55"/>
    <w:basedOn w:val="16"/>
    <w:qFormat/>
    <w:uiPriority w:val="0"/>
    <w:rPr>
      <w:rFonts w:hint="default" w:ascii="Times New Roman" w:hAnsi="Times New Roman" w:cs="Times New Roman"/>
    </w:rPr>
  </w:style>
  <w:style w:type="character" w:customStyle="1" w:styleId="65">
    <w:name w:val="57"/>
    <w:basedOn w:val="16"/>
    <w:qFormat/>
    <w:uiPriority w:val="0"/>
    <w:rPr>
      <w:rFonts w:hint="default" w:ascii="Times New Roman" w:hAnsi="Times New Roman" w:cs="Times New Roman"/>
      <w:color w:val="0000FF"/>
      <w:u w:val="single"/>
    </w:rPr>
  </w:style>
  <w:style w:type="character" w:customStyle="1" w:styleId="66">
    <w:name w:val="58"/>
    <w:basedOn w:val="16"/>
    <w:qFormat/>
    <w:uiPriority w:val="0"/>
    <w:rPr>
      <w:rFonts w:hint="default" w:ascii="Times New Roman" w:hAnsi="Times New Roman" w:cs="Times New Roman"/>
    </w:rPr>
  </w:style>
  <w:style w:type="character" w:customStyle="1" w:styleId="67">
    <w:name w:val="59"/>
    <w:basedOn w:val="16"/>
    <w:qFormat/>
    <w:uiPriority w:val="0"/>
    <w:rPr>
      <w:rFonts w:hint="default" w:ascii="Times New Roman" w:hAnsi="Times New Roman" w:cs="Times New Roman"/>
    </w:rPr>
  </w:style>
  <w:style w:type="character" w:customStyle="1" w:styleId="68">
    <w:name w:val="61"/>
    <w:basedOn w:val="16"/>
    <w:qFormat/>
    <w:uiPriority w:val="0"/>
    <w:rPr>
      <w:rFonts w:hint="default" w:ascii="Times New Roman" w:hAnsi="Times New Roman" w:cs="Times New Roman"/>
    </w:rPr>
  </w:style>
  <w:style w:type="paragraph" w:customStyle="1" w:styleId="69">
    <w:name w:val="WPSOffice手动目录 2"/>
    <w:basedOn w:val="1"/>
    <w:qFormat/>
    <w:uiPriority w:val="0"/>
    <w:pPr>
      <w:spacing w:before="0" w:beforeAutospacing="0" w:after="0" w:afterAutospacing="0"/>
      <w:ind w:left="0" w:leftChars="200" w:right="0"/>
      <w:jc w:val="left"/>
    </w:pPr>
    <w:rPr>
      <w:rFonts w:hint="default" w:ascii="Times New Roman" w:hAnsi="Times New Roman" w:eastAsia="宋体" w:cs="Times New Roman"/>
      <w:kern w:val="0"/>
      <w:sz w:val="24"/>
      <w:szCs w:val="24"/>
      <w:lang w:val="en-US" w:eastAsia="zh-CN" w:bidi="ar"/>
    </w:rPr>
  </w:style>
  <w:style w:type="paragraph" w:customStyle="1" w:styleId="70">
    <w:name w:val="HTML 预设格式 Char Char Char Char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1">
    <w:name w:val="普通(网站) Char Char Char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2">
    <w:name w:val="p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3">
    <w:name w:val="pre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4">
    <w:name w:val="普通(网站) Char Char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5">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6">
    <w:name w:val="p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7">
    <w:name w:val="HTML 预设格式 Char Char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8">
    <w:name w:val="普通(网站)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9">
    <w:name w:val="WPSOffice手动目录 1"/>
    <w:basedOn w:val="1"/>
    <w:uiPriority w:val="0"/>
    <w:pPr>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11</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2023-09-21T01:20:00Z</dcterms:created>
  <dc:creator>Administrator</dc:creator>
  <cp:lastModifiedBy>Administrator</cp:lastModifiedBy>
  <dcterms:modified xsi:type="dcterms:W3CDTF">2023-09-21T01:34:00Z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