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inorEastAsia" w:hAnsiTheme="minorEastAsia" w:eastAsiaTheme="minorEastAsia" w:cstheme="minorEastAsia"/>
          <w:sz w:val="52"/>
          <w:szCs w:val="52"/>
          <w:lang w:eastAsia="zh-CN"/>
        </w:rPr>
      </w:pPr>
      <w:r>
        <w:rPr>
          <w:rFonts w:hint="eastAsia" w:asciiTheme="minorEastAsia" w:hAnsiTheme="minorEastAsia" w:eastAsiaTheme="minorEastAsia" w:cstheme="minorEastAsia"/>
          <w:sz w:val="52"/>
          <w:szCs w:val="52"/>
          <w:lang w:val="en-US" w:eastAsia="zh-CN"/>
        </w:rPr>
        <w:t>2023</w:t>
      </w:r>
      <w:r>
        <w:rPr>
          <w:rFonts w:hint="eastAsia" w:asciiTheme="minorEastAsia" w:hAnsiTheme="minorEastAsia" w:eastAsiaTheme="minorEastAsia" w:cstheme="minorEastAsia"/>
          <w:sz w:val="52"/>
          <w:szCs w:val="52"/>
        </w:rPr>
        <w:t>年</w:t>
      </w:r>
      <w:r>
        <w:rPr>
          <w:rFonts w:hint="eastAsia" w:asciiTheme="minorEastAsia" w:hAnsiTheme="minorEastAsia" w:eastAsiaTheme="minorEastAsia" w:cstheme="minorEastAsia"/>
          <w:sz w:val="52"/>
          <w:szCs w:val="52"/>
          <w:lang w:eastAsia="zh-CN"/>
        </w:rPr>
        <w:t>海口市</w:t>
      </w:r>
      <w:r>
        <w:rPr>
          <w:rFonts w:hint="eastAsia" w:asciiTheme="minorEastAsia" w:hAnsiTheme="minorEastAsia" w:eastAsiaTheme="minorEastAsia" w:cstheme="minorEastAsia"/>
          <w:b w:val="0"/>
          <w:bCs w:val="0"/>
          <w:sz w:val="52"/>
          <w:szCs w:val="52"/>
          <w:lang w:eastAsia="zh-CN"/>
        </w:rPr>
        <w:t>应急管理</w:t>
      </w:r>
      <w:r>
        <w:rPr>
          <w:rFonts w:hint="eastAsia" w:asciiTheme="minorEastAsia" w:hAnsiTheme="minorEastAsia" w:eastAsiaTheme="minorEastAsia" w:cstheme="minorEastAsia"/>
          <w:sz w:val="52"/>
          <w:szCs w:val="52"/>
          <w:lang w:val="en-US" w:eastAsia="zh-CN"/>
        </w:rPr>
        <w:t>单位</w:t>
      </w:r>
      <w:r>
        <w:rPr>
          <w:rFonts w:hint="eastAsia" w:asciiTheme="minorEastAsia" w:hAnsiTheme="minorEastAsia" w:eastAsiaTheme="minorEastAsia" w:cstheme="minorEastAsia"/>
          <w:sz w:val="52"/>
          <w:szCs w:val="52"/>
        </w:rPr>
        <w:t>预算</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2"/>
        <w:numPr>
          <w:ilvl w:val="0"/>
          <w:numId w:val="1"/>
        </w:numPr>
        <w:ind w:firstLineChars="0"/>
        <w:jc w:val="left"/>
        <w:rPr>
          <w:rFonts w:hint="eastAsia" w:ascii="黑体" w:hAnsi="黑体" w:eastAsia="黑体" w:cs="黑体"/>
          <w:b w:val="0"/>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cs="黑体"/>
          <w:b w:val="0"/>
          <w:bCs/>
          <w:sz w:val="32"/>
          <w:szCs w:val="32"/>
          <w:lang w:eastAsia="zh-CN"/>
        </w:rPr>
        <w:t>单位</w:t>
      </w:r>
      <w:r>
        <w:rPr>
          <w:rFonts w:hint="eastAsia" w:ascii="黑体" w:hAnsi="黑体" w:eastAsia="黑体" w:cs="黑体"/>
          <w:b w:val="0"/>
          <w:bCs/>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hint="eastAsia" w:ascii="黑体" w:hAnsi="黑体" w:eastAsia="黑体" w:cs="黑体"/>
          <w:b w:val="0"/>
          <w:bCs/>
          <w:sz w:val="32"/>
          <w:szCs w:val="32"/>
          <w:lang w:eastAsia="zh-CN"/>
        </w:rPr>
        <w:t>单位</w:t>
      </w:r>
      <w:r>
        <w:rPr>
          <w:rFonts w:hint="eastAsia" w:ascii="黑体" w:hAnsi="黑体" w:eastAsia="黑体"/>
          <w:sz w:val="32"/>
          <w:szCs w:val="32"/>
        </w:rPr>
        <w:t>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bCs/>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hint="eastAsia" w:ascii="黑体" w:hAnsi="黑体" w:eastAsia="黑体" w:cs="黑体"/>
          <w:b w:val="0"/>
          <w:bCs/>
          <w:sz w:val="32"/>
          <w:szCs w:val="32"/>
          <w:lang w:eastAsia="zh-CN"/>
        </w:rPr>
        <w:t>单位</w:t>
      </w:r>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1"/>
          <w:numId w:val="0"/>
        </w:numPr>
        <w:tabs>
          <w:tab w:val="left" w:pos="419"/>
        </w:tabs>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（四）组织指导协调安全生产类、自然灾害类等突发事件应急救援，综合研判突发事件发展态势并提出应对建议，协助市委、市政府指定的负责同志组织重大灾害应急处置工作。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（五）统一协调指挥全市各类应急专业队伍，建立应急协调联动机制，衔接驻市军警部队参与应急救援和处置工作。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（六）统筹全市应急救援力量建设，负责火灾扑救、抗洪抢险、地震和地质灾害救援、生产安全事故救援等专业应急救援力量建设，指导各区（开发区）及社会应急救援力量建设。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（七）负责全市消防工作，指导消防监督、火灾预防、火灾扑救等工作。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（八）指导协调全市森林火灾、水旱灾害、台风灾害、地震和地质灾害等防治工作。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（十）依法行使安全生产综合监督管理职权，指导协调、监督检查各区人民政府和市级有关部门安全生产工作，组织开展安全生产巡查、考核工作。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（十二）依法组织指导生产安全事故调查处理，组织开展自然灾害类突发事件调查评估工作，监督事故查处和责任追究落实情况。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（十三）开展应急管理方面的对外交流合作。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（十四）制定全市应急物资储备和应急救援装备规划并组织实施；会同市发展改革委员会等部门建立健全应急物资信息平台和调拨制度，在救灾时统一调度。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（十五）负责全市应急管理、安全生产宣传教育和培训工作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组织指导应急管理、安全生产的科学技术研究、推广应用和信息化建设工作。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（十六）负责全市海洋预报减灾工作，组织开展海洋观测、预报、海洋灾害应急处理工作。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（十七）负责建立全市地震监测预报工作体系，组织协调建立震灾预防工作体系，组织开展地震紧急救援工作。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（十八）承担市突发公共事件应急委员会、市安全生产委员会、市减灾委员会、市防汛防风防旱指挥部、市森林防火指挥部、市抗震救灾指挥部日常工作。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（十九）指导各区应急管理工作。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（二十）完成市委、市政府和上级部门交办的其他任务。</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黑体" w:eastAsia="仿宋_GB2312" w:cs="仿宋_GB2312"/>
          <w:sz w:val="32"/>
          <w:szCs w:val="32"/>
          <w:lang w:val="en-US" w:eastAsia="zh-CN"/>
        </w:rPr>
        <w:t xml:space="preserve">   </w:t>
      </w:r>
    </w:p>
    <w:p>
      <w:pPr>
        <w:widowControl/>
        <w:spacing w:line="360" w:lineRule="atLeast"/>
        <w:ind w:firstLine="640"/>
        <w:rPr>
          <w:rFonts w:hint="eastAsia" w:ascii="仿宋_GB2312" w:hAnsi="仿宋_GB2312" w:eastAsia="仿宋_GB2312" w:cs="仿宋_GB2312"/>
          <w:color w:val="000000"/>
          <w:kern w:val="0"/>
          <w:sz w:val="32"/>
          <w:szCs w:val="32"/>
        </w:rPr>
      </w:pPr>
    </w:p>
    <w:p>
      <w:pPr>
        <w:ind w:firstLine="640" w:firstLineChars="200"/>
        <w:rPr>
          <w:rFonts w:ascii="黑体" w:hAnsi="黑体" w:eastAsia="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hint="eastAsia" w:ascii="黑体" w:hAnsi="黑体" w:eastAsia="黑体" w:cs="黑体"/>
          <w:b w:val="0"/>
          <w:bCs/>
          <w:sz w:val="32"/>
          <w:szCs w:val="32"/>
          <w:lang w:eastAsia="zh-CN"/>
        </w:rPr>
        <w:t>单位</w:t>
      </w:r>
      <w:r>
        <w:rPr>
          <w:rFonts w:hint="eastAsia" w:ascii="黑体" w:hAnsi="黑体" w:eastAsia="黑体"/>
          <w:b w:val="0"/>
          <w:bCs w:val="0"/>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hint="eastAsia" w:ascii="黑体" w:hAnsi="黑体" w:eastAsia="黑体" w:cs="黑体"/>
          <w:b w:val="0"/>
          <w:bCs/>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3,877.62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3,877.62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2,431.60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1,446.01</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3,877.62</w:t>
      </w:r>
      <w:r>
        <w:rPr>
          <w:rFonts w:hint="eastAsia" w:ascii="仿宋_GB2312" w:hAnsi="黑体" w:eastAsia="仿宋_GB2312"/>
          <w:sz w:val="32"/>
          <w:szCs w:val="32"/>
        </w:rPr>
        <w:t>万元，包括社会保障和就业支出208.72万元，卫生健康支出158.03万元</w:t>
      </w:r>
      <w:r>
        <w:rPr>
          <w:rFonts w:hint="eastAsia" w:ascii="仿宋_GB2312" w:hAnsi="黑体" w:eastAsia="仿宋_GB2312"/>
          <w:sz w:val="32"/>
          <w:szCs w:val="32"/>
          <w:lang w:val="en-US" w:eastAsia="zh-CN"/>
        </w:rPr>
        <w:t>,住房保障支出102.16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,灾害防治及应急管理支出1,962.70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,其他支出1,446.01万元，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2431.6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148.44</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支出208.7</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8.58</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支出158.03万元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6.50</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支出102.16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4.20</w:t>
      </w:r>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支出1,962.70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80.72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支出（款）机关事业单位基本养老保险缴费支出（项）20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黑体" w:eastAsia="仿宋_GB2312"/>
          <w:sz w:val="32"/>
          <w:szCs w:val="32"/>
        </w:rPr>
        <w:t>112.70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13.77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支出（款）机关事业单位职业年金缴费支出（项）20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56.35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增加56.35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单位增加</w:t>
      </w:r>
      <w:r>
        <w:rPr>
          <w:rFonts w:hint="eastAsia" w:ascii="仿宋_GB2312" w:hAnsi="仿宋_GB2312" w:eastAsia="仿宋_GB2312" w:cs="仿宋_GB2312"/>
          <w:sz w:val="32"/>
          <w:szCs w:val="32"/>
        </w:rPr>
        <w:t>机关事业单位职业年金缴费支出。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支出（款）其他行政事业单位养老支出（项）20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35.84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、社会保障和就业支出（类）抚恤（款）其他优抚支出（项）20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年预算数为3.83万元，比上年预算数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标准提高</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、卫生健康支出（类）行政事业单位医疗（款）行政单位医疗（项）20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与上年预算数持平</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、卫生健康支出（类）行政事业单位医疗（款）公务员医疗补助（项）20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85.13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15.44</w:t>
      </w:r>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医疗费增加。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、卫生健康支出（类）行政事业单位医疗（款）其他行政事业单位医疗支出（项）20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5.71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val="en-US" w:eastAsia="zh-CN"/>
        </w:rPr>
        <w:t>减少0.27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费用减少。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住房保障支出（类）住房改革支</w:t>
      </w:r>
      <w:r>
        <w:rPr>
          <w:rFonts w:hint="eastAsia" w:ascii="仿宋_GB2312" w:hAnsi="仿宋_GB2312" w:eastAsia="仿宋_GB2312" w:cs="仿宋_GB2312"/>
          <w:sz w:val="32"/>
          <w:szCs w:val="32"/>
        </w:rPr>
        <w:t>出（款）住房公积金（项）20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102.16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18.53</w:t>
      </w:r>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住房公积金费用增加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、灾害防治及应急管理支出（类）应急管理事务（款）行政运行（项）20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1,098.70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21.61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、灾害防治及应急管理支出（类）应急管理事务（款）</w:t>
      </w:r>
      <w:r>
        <w:rPr>
          <w:rFonts w:hint="eastAsia" w:ascii="仿宋_GB2312" w:hAnsi="仿宋_GB2312" w:eastAsia="仿宋_GB2312" w:cs="仿宋_GB2312"/>
          <w:sz w:val="32"/>
          <w:szCs w:val="32"/>
          <w:lang w:eastAsia="zh-CN"/>
        </w:rPr>
        <w:t>一般行政管理事务</w:t>
      </w:r>
      <w:r>
        <w:rPr>
          <w:rFonts w:hint="eastAsia" w:ascii="仿宋_GB2312" w:hAnsi="仿宋_GB2312" w:eastAsia="仿宋_GB2312" w:cs="仿宋_GB2312"/>
          <w:sz w:val="32"/>
          <w:szCs w:val="32"/>
        </w:rPr>
        <w:t>（项）20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650.8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灾害防治及应急管理支出（类）应急管理事务（款）应急管理（项）20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814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814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p>
    <w:p>
      <w:pPr>
        <w:ind w:firstLine="640"/>
        <w:rPr>
          <w:rFonts w:ascii="黑体" w:hAnsi="黑体" w:eastAsia="黑体"/>
          <w:sz w:val="32"/>
          <w:szCs w:val="32"/>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s="黑体"/>
          <w:b w:val="0"/>
          <w:bCs/>
          <w:color w:val="000000" w:themeColor="text1"/>
          <w:sz w:val="32"/>
          <w:szCs w:val="32"/>
          <w14:textFill>
            <w14:solidFill>
              <w14:schemeClr w14:val="tx1"/>
            </w14:solidFill>
          </w14:textFill>
        </w:rPr>
        <w:t>海口市</w:t>
      </w:r>
      <w:r>
        <w:rPr>
          <w:rFonts w:hint="eastAsia" w:ascii="黑体" w:hAnsi="黑体" w:eastAsia="黑体" w:cs="黑体"/>
          <w:b w:val="0"/>
          <w:bCs/>
          <w:color w:val="000000" w:themeColor="text1"/>
          <w:sz w:val="32"/>
          <w:szCs w:val="32"/>
          <w:lang w:eastAsia="zh-CN"/>
          <w14:textFill>
            <w14:solidFill>
              <w14:schemeClr w14:val="tx1"/>
            </w14:solidFill>
          </w14:textFill>
        </w:rPr>
        <w:t>应急</w:t>
      </w:r>
      <w:r>
        <w:rPr>
          <w:rFonts w:hint="eastAsia" w:ascii="黑体" w:hAnsi="黑体" w:eastAsia="黑体" w:cs="黑体"/>
          <w:b w:val="0"/>
          <w:bCs/>
          <w:color w:val="000000" w:themeColor="text1"/>
          <w:sz w:val="32"/>
          <w:szCs w:val="32"/>
          <w14:textFill>
            <w14:solidFill>
              <w14:schemeClr w14:val="tx1"/>
            </w14:solidFill>
          </w14:textFill>
        </w:rPr>
        <w:t>管</w:t>
      </w:r>
      <w:r>
        <w:rPr>
          <w:rFonts w:hint="eastAsia" w:ascii="黑体" w:hAnsi="黑体" w:eastAsia="黑体" w:cs="黑体"/>
          <w:b w:val="0"/>
          <w:bCs/>
          <w:sz w:val="32"/>
          <w:szCs w:val="32"/>
        </w:rPr>
        <w:t>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1,561.60</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1,374.66</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基本工资、津贴补贴、奖金、绩效工资、机关事业单位基本养老保险缴费、城镇职工基本医疗保险缴费、公务员医疗补助缴费、其他社会保障缴费、住房公积金、医疗费、其他工资福利支出</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生活补助、</w:t>
      </w:r>
      <w:r>
        <w:rPr>
          <w:rFonts w:hint="eastAsia" w:ascii="仿宋_GB2312" w:hAnsi="仿宋_GB2312" w:eastAsia="仿宋_GB2312" w:cs="仿宋_GB2312"/>
          <w:sz w:val="32"/>
          <w:szCs w:val="32"/>
          <w:lang w:eastAsia="zh-CN"/>
        </w:rPr>
        <w:t>救济费（扶贫）、医疗费补助（退休补充医疗）、</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r>
        <w:rPr>
          <w:rFonts w:hint="eastAsia" w:ascii="仿宋_GB2312" w:hAnsi="黑体" w:eastAsia="仿宋_GB2312"/>
          <w:sz w:val="32"/>
          <w:szCs w:val="32"/>
        </w:rPr>
        <w:t>其他对个人和家庭的补助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186.95</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咨询费、手续费、水费、电费、邮电费、物业管理费、差旅费、维修（护）费、 租赁费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会议费、培训费、委托业务费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工会经费、公务用车运行维护费、其他交通费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34.65</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auto"/>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34.65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34.65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17.30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color w:val="auto"/>
          <w:sz w:val="32"/>
          <w:szCs w:val="32"/>
          <w:lang w:val="en-US" w:eastAsia="zh-CN"/>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仿宋_GB2312" w:hAnsi="黑体" w:eastAsia="仿宋_GB2312" w:cs="仿宋_GB2312"/>
          <w:sz w:val="32"/>
          <w:szCs w:val="32"/>
          <w:lang w:val="en-US" w:eastAsia="zh-CN"/>
        </w:rPr>
        <w:t>下降</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cs="仿宋_GB2312"/>
          <w:sz w:val="32"/>
          <w:szCs w:val="32"/>
          <w:lang w:val="en-US" w:eastAsia="zh-CN"/>
        </w:rPr>
        <w:t>下降</w:t>
      </w:r>
      <w:r>
        <w:rPr>
          <w:rFonts w:hint="eastAsia" w:ascii="Times New Roman" w:hAnsi="Times New Roman" w:eastAsia="仿宋_GB2312" w:cs="Times New Roman"/>
          <w:sz w:val="32"/>
          <w:shd w:val="clear" w:color="auto" w:fill="FFFFFF"/>
          <w:lang w:eastAsia="zh-CN"/>
        </w:rPr>
        <w:t>的原因是接待任务减少</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主要是20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。公务车保有</w:t>
      </w:r>
      <w:r>
        <w:rPr>
          <w:rFonts w:hint="eastAsia" w:ascii="Times New Roman" w:hAnsi="Times New Roman" w:eastAsia="仿宋_GB2312" w:cs="Times New Roman"/>
          <w:color w:val="auto"/>
          <w:sz w:val="32"/>
          <w:shd w:val="clear" w:color="auto" w:fill="FFFFFF"/>
        </w:rPr>
        <w:t>量</w:t>
      </w:r>
      <w:r>
        <w:rPr>
          <w:rFonts w:hint="eastAsia" w:ascii="仿宋_GB2312" w:hAnsi="黑体" w:eastAsia="仿宋_GB2312" w:cs="仿宋_GB2312"/>
          <w:color w:val="auto"/>
          <w:sz w:val="32"/>
          <w:szCs w:val="32"/>
          <w:lang w:val="en-US" w:eastAsia="zh-CN"/>
        </w:rPr>
        <w:t>21</w:t>
      </w:r>
      <w:r>
        <w:rPr>
          <w:rFonts w:hint="eastAsia" w:ascii="仿宋_GB2312" w:hAnsi="黑体" w:eastAsia="仿宋_GB2312" w:cs="仿宋_GB2312"/>
          <w:color w:val="auto"/>
          <w:sz w:val="32"/>
          <w:szCs w:val="32"/>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年政府性基金预算当年拨款1,446.01万元，比上年预算数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1,446.01万元，</w:t>
      </w:r>
      <w:r>
        <w:rPr>
          <w:rFonts w:hint="eastAsia" w:ascii="仿宋_GB2312" w:hAnsi="黑体" w:eastAsia="仿宋_GB2312" w:cs="仿宋_GB2312"/>
          <w:sz w:val="32"/>
          <w:szCs w:val="32"/>
          <w:lang w:eastAsia="zh-CN"/>
        </w:rPr>
        <w:t>增加的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其他支出（类）支出</w:t>
      </w:r>
      <w:r>
        <w:rPr>
          <w:rFonts w:hint="eastAsia" w:ascii="仿宋_GB2312" w:hAnsi="黑体" w:eastAsia="仿宋_GB2312" w:cs="仿宋_GB2312"/>
          <w:sz w:val="32"/>
          <w:szCs w:val="32"/>
          <w:lang w:val="en-US" w:eastAsia="zh-CN"/>
        </w:rPr>
        <w:t>1,446.01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其他支出（类）其他政府性基金及对应专项债务收入安排的支出（款）其他地方自行试点项目收益专项债券收入安排的支出（项）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1,446.01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rPr>
        <w:t>1,446.01万元，</w:t>
      </w:r>
      <w:r>
        <w:rPr>
          <w:rFonts w:hint="eastAsia" w:ascii="仿宋_GB2312" w:hAnsi="黑体" w:eastAsia="仿宋_GB2312" w:cs="仿宋_GB2312"/>
          <w:sz w:val="32"/>
          <w:szCs w:val="32"/>
          <w:lang w:eastAsia="zh-CN"/>
        </w:rPr>
        <w:t>增加的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财政专户管理资金；支出包括：一般公共服务支出、外交支出、国防支出、公共安全支出、教育支出、社会保障和就业支出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3,877.62</w:t>
      </w:r>
      <w:r>
        <w:rPr>
          <w:rFonts w:hint="eastAsia" w:ascii="仿宋_GB2312" w:hAnsi="黑体" w:eastAsia="仿宋_GB2312"/>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黑体"/>
          <w:b w:val="0"/>
          <w:bCs/>
          <w:color w:val="auto"/>
          <w:sz w:val="32"/>
          <w:szCs w:val="32"/>
        </w:rPr>
        <w:t>海口市</w:t>
      </w:r>
      <w:r>
        <w:rPr>
          <w:rFonts w:hint="eastAsia" w:ascii="黑体" w:hAnsi="黑体" w:eastAsia="黑体" w:cs="黑体"/>
          <w:b w:val="0"/>
          <w:bCs/>
          <w:color w:val="auto"/>
          <w:sz w:val="32"/>
          <w:szCs w:val="32"/>
          <w:lang w:eastAsia="zh-CN"/>
        </w:rPr>
        <w:t>应急</w:t>
      </w:r>
      <w:r>
        <w:rPr>
          <w:rFonts w:hint="eastAsia" w:ascii="黑体" w:hAnsi="黑体" w:eastAsia="黑体" w:cs="黑体"/>
          <w:b w:val="0"/>
          <w:bCs/>
          <w:color w:val="auto"/>
          <w:sz w:val="32"/>
          <w:szCs w:val="32"/>
        </w:rPr>
        <w:t>管理局</w:t>
      </w:r>
      <w:r>
        <w:rPr>
          <w:rFonts w:hint="eastAsia" w:ascii="黑体" w:hAnsi="黑体" w:eastAsia="黑体"/>
          <w:color w:val="auto"/>
          <w:sz w:val="32"/>
          <w:szCs w:val="32"/>
        </w:rPr>
        <w:t>（</w:t>
      </w:r>
      <w:r>
        <w:rPr>
          <w:rFonts w:hint="eastAsia" w:ascii="黑体" w:hAnsi="黑体" w:eastAsia="黑体" w:cs="黑体"/>
          <w:b w:val="0"/>
          <w:bCs/>
          <w:sz w:val="32"/>
          <w:szCs w:val="32"/>
          <w:lang w:eastAsia="zh-CN"/>
        </w:rPr>
        <w:t>单位</w:t>
      </w:r>
      <w:r>
        <w:rPr>
          <w:rFonts w:hint="eastAsia" w:ascii="黑体" w:hAnsi="黑体" w:eastAsia="黑体"/>
          <w:color w:val="auto"/>
          <w:sz w:val="32"/>
          <w:szCs w:val="32"/>
        </w:rPr>
        <w:t>）</w:t>
      </w:r>
      <w:r>
        <w:rPr>
          <w:rFonts w:hint="eastAsia" w:ascii="黑体" w:hAnsi="黑体" w:eastAsia="黑体" w:cs="黑体"/>
          <w:color w:val="auto"/>
          <w:sz w:val="32"/>
          <w:szCs w:val="32"/>
          <w:lang w:val="en-US" w:eastAsia="zh-CN"/>
        </w:rPr>
        <w:t>20</w:t>
      </w:r>
      <w:r>
        <w:rPr>
          <w:rFonts w:hint="eastAsia" w:ascii="黑体" w:hAnsi="黑体" w:eastAsia="黑体" w:cs="黑体"/>
          <w:color w:val="auto"/>
          <w:sz w:val="32"/>
          <w:szCs w:val="32"/>
          <w:lang w:val="en-US" w:eastAsia="zh-CN"/>
        </w:rPr>
        <w:t>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3,877.62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1,446.01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37.29</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2,431.60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62.71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1297.58</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增加</w:t>
      </w:r>
      <w:r>
        <w:rPr>
          <w:rFonts w:hint="eastAsia" w:ascii="仿宋_GB2312" w:hAnsi="黑体" w:eastAsia="仿宋_GB2312"/>
          <w:sz w:val="32"/>
          <w:szCs w:val="32"/>
        </w:rPr>
        <w:t>上年结转</w:t>
      </w:r>
      <w:r>
        <w:rPr>
          <w:rFonts w:hint="eastAsia" w:ascii="仿宋_GB2312" w:hAnsi="仿宋_GB2312" w:eastAsia="仿宋_GB2312" w:cs="仿宋_GB2312"/>
          <w:sz w:val="32"/>
          <w:szCs w:val="32"/>
        </w:rPr>
        <w:t>其他支出费用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r>
        <w:rPr>
          <w:rFonts w:hint="eastAsia" w:ascii="黑体" w:hAnsi="黑体" w:eastAsia="黑体" w:cs="黑体"/>
          <w:b w:val="0"/>
          <w:bCs/>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3,877.62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1561.61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40.27</w:t>
      </w:r>
      <w:r>
        <w:rPr>
          <w:rFonts w:hint="eastAsia" w:ascii="仿宋_GB2312" w:hAnsi="黑体" w:eastAsia="仿宋_GB2312"/>
          <w:sz w:val="32"/>
          <w:szCs w:val="32"/>
        </w:rPr>
        <w:t>%；项目支出</w:t>
      </w:r>
      <w:r>
        <w:rPr>
          <w:rFonts w:hint="eastAsia" w:ascii="仿宋_GB2312" w:hAnsi="黑体" w:eastAsia="仿宋_GB2312" w:cs="仿宋_GB2312"/>
          <w:sz w:val="32"/>
          <w:szCs w:val="32"/>
        </w:rPr>
        <w:t>2,316.01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59.73</w:t>
      </w:r>
      <w:r>
        <w:rPr>
          <w:rFonts w:hint="eastAsia" w:ascii="仿宋_GB2312" w:hAnsi="黑体" w:eastAsia="仿宋_GB2312"/>
          <w:sz w:val="32"/>
          <w:szCs w:val="32"/>
        </w:rPr>
        <w:t>%。</w:t>
      </w:r>
      <w:r>
        <w:rPr>
          <w:rFonts w:hint="eastAsia" w:ascii="仿宋_GB2312" w:hAnsi="黑体" w:eastAsia="仿宋_GB2312"/>
          <w:sz w:val="32"/>
          <w:szCs w:val="32"/>
          <w:lang w:eastAsia="zh-CN"/>
        </w:rPr>
        <w:t>较</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1297.58</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增加</w:t>
      </w:r>
      <w:r>
        <w:rPr>
          <w:rFonts w:hint="eastAsia" w:ascii="仿宋_GB2312" w:hAnsi="黑体" w:eastAsia="仿宋_GB2312"/>
          <w:sz w:val="32"/>
          <w:szCs w:val="32"/>
        </w:rPr>
        <w:t>上年结转</w:t>
      </w:r>
      <w:r>
        <w:rPr>
          <w:rFonts w:hint="eastAsia" w:ascii="仿宋_GB2312" w:hAnsi="仿宋_GB2312" w:eastAsia="仿宋_GB2312" w:cs="仿宋_GB2312"/>
          <w:sz w:val="32"/>
          <w:szCs w:val="32"/>
        </w:rPr>
        <w:t>其他支出费用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
        <w:t>九</w:t>
      </w:r>
      <w:r>
        <w:rPr>
          <w:rFonts w:hint="eastAsia" w:ascii="黑体" w:hAnsi="黑体" w:eastAsia="黑体" w:cs="Times New Roman"/>
          <w:sz w:val="32"/>
          <w:shd w:val="clear" w:color="auto" w:fill="FFFFFF"/>
        </w:rPr>
        <w:t>、其他重要事项的情况说明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widowControl/>
        <w:spacing w:line="3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）机关运行经费预算</w:t>
      </w:r>
      <w:r>
        <w:rPr>
          <w:rFonts w:hint="eastAsia" w:ascii="仿宋_GB2312" w:hAnsi="仿宋_GB2312" w:eastAsia="仿宋_GB2312" w:cs="仿宋_GB2312"/>
          <w:sz w:val="32"/>
          <w:szCs w:val="32"/>
          <w:lang w:val="en-US" w:eastAsia="zh-CN"/>
        </w:rPr>
        <w:t>186.95</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仿宋_GB2312" w:eastAsia="仿宋_GB2312" w:cs="仿宋_GB2312"/>
          <w:color w:val="auto"/>
          <w:sz w:val="32"/>
          <w:szCs w:val="32"/>
        </w:rPr>
        <w:t>海口市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）本级及下属各预算单位共有车辆</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辆，其中，领导干部用车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辆，机要通信应急用车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辆、一般执法执勤用车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辆、其他用车0辆。单位价值100万元以上设备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2431.60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forms" w:formatting="1"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zE4NDliMGY5NWM0YTEzNDYzYWYzYWUyM2MxOTUifQ=="/>
  </w:docVars>
  <w:rsids>
    <w:rsidRoot w:val="00000000"/>
    <w:rsid w:val="01213D52"/>
    <w:rsid w:val="013F2308"/>
    <w:rsid w:val="01580760"/>
    <w:rsid w:val="01C331F8"/>
    <w:rsid w:val="023F1B50"/>
    <w:rsid w:val="02BD4CE6"/>
    <w:rsid w:val="02DB0EEE"/>
    <w:rsid w:val="03262778"/>
    <w:rsid w:val="03421644"/>
    <w:rsid w:val="03455ECA"/>
    <w:rsid w:val="04940922"/>
    <w:rsid w:val="06182927"/>
    <w:rsid w:val="074D78F6"/>
    <w:rsid w:val="07E36D38"/>
    <w:rsid w:val="087C23D4"/>
    <w:rsid w:val="08B2784F"/>
    <w:rsid w:val="09B84420"/>
    <w:rsid w:val="0A884DB0"/>
    <w:rsid w:val="0AA0227C"/>
    <w:rsid w:val="0AAF5F64"/>
    <w:rsid w:val="0AD10237"/>
    <w:rsid w:val="0AF30F87"/>
    <w:rsid w:val="0B8E616A"/>
    <w:rsid w:val="0B97438E"/>
    <w:rsid w:val="0CBE5285"/>
    <w:rsid w:val="0CD0328D"/>
    <w:rsid w:val="0F0E3EA5"/>
    <w:rsid w:val="0F470958"/>
    <w:rsid w:val="0FF57A1C"/>
    <w:rsid w:val="10CF4A98"/>
    <w:rsid w:val="11F34FEB"/>
    <w:rsid w:val="1247635B"/>
    <w:rsid w:val="12C25AC0"/>
    <w:rsid w:val="133A2CAD"/>
    <w:rsid w:val="13A40034"/>
    <w:rsid w:val="13EC3F8E"/>
    <w:rsid w:val="14186BF5"/>
    <w:rsid w:val="1593500F"/>
    <w:rsid w:val="15B82500"/>
    <w:rsid w:val="15E66E9D"/>
    <w:rsid w:val="16277C9B"/>
    <w:rsid w:val="16562458"/>
    <w:rsid w:val="176F6D42"/>
    <w:rsid w:val="184A180F"/>
    <w:rsid w:val="18782504"/>
    <w:rsid w:val="18E01820"/>
    <w:rsid w:val="195608E3"/>
    <w:rsid w:val="195739FD"/>
    <w:rsid w:val="19AB48D2"/>
    <w:rsid w:val="1A2E74F0"/>
    <w:rsid w:val="1B621EBC"/>
    <w:rsid w:val="1D3637F4"/>
    <w:rsid w:val="1D37094C"/>
    <w:rsid w:val="1DD767FB"/>
    <w:rsid w:val="1E9940CE"/>
    <w:rsid w:val="1EDE6023"/>
    <w:rsid w:val="1F480624"/>
    <w:rsid w:val="203009DF"/>
    <w:rsid w:val="20FD0145"/>
    <w:rsid w:val="2267693D"/>
    <w:rsid w:val="22925F57"/>
    <w:rsid w:val="22C627BE"/>
    <w:rsid w:val="230A4A04"/>
    <w:rsid w:val="23D706B8"/>
    <w:rsid w:val="2437615F"/>
    <w:rsid w:val="25FF2BBC"/>
    <w:rsid w:val="26E233DA"/>
    <w:rsid w:val="277E390C"/>
    <w:rsid w:val="285748D7"/>
    <w:rsid w:val="29485EB6"/>
    <w:rsid w:val="29E4780A"/>
    <w:rsid w:val="2A001EDD"/>
    <w:rsid w:val="2A43341F"/>
    <w:rsid w:val="2B495420"/>
    <w:rsid w:val="2B983B4C"/>
    <w:rsid w:val="2BE760A3"/>
    <w:rsid w:val="2C3664E6"/>
    <w:rsid w:val="2C877579"/>
    <w:rsid w:val="2D304194"/>
    <w:rsid w:val="2DC333C1"/>
    <w:rsid w:val="2EAC3D18"/>
    <w:rsid w:val="2EC67439"/>
    <w:rsid w:val="2F9073B2"/>
    <w:rsid w:val="2FD45DE0"/>
    <w:rsid w:val="3090649A"/>
    <w:rsid w:val="313C1E8F"/>
    <w:rsid w:val="317952AC"/>
    <w:rsid w:val="31AF4A5E"/>
    <w:rsid w:val="31E84E0B"/>
    <w:rsid w:val="321120BC"/>
    <w:rsid w:val="33395E6E"/>
    <w:rsid w:val="33831133"/>
    <w:rsid w:val="341878D2"/>
    <w:rsid w:val="34801627"/>
    <w:rsid w:val="34AC78AD"/>
    <w:rsid w:val="354F7946"/>
    <w:rsid w:val="371D2457"/>
    <w:rsid w:val="38033C50"/>
    <w:rsid w:val="39A03A4B"/>
    <w:rsid w:val="3A01688D"/>
    <w:rsid w:val="3BAC18AE"/>
    <w:rsid w:val="3D410655"/>
    <w:rsid w:val="3D5C0E48"/>
    <w:rsid w:val="3DBE625B"/>
    <w:rsid w:val="3EA64362"/>
    <w:rsid w:val="417A56FA"/>
    <w:rsid w:val="418943D1"/>
    <w:rsid w:val="43214306"/>
    <w:rsid w:val="44562E10"/>
    <w:rsid w:val="44A66B12"/>
    <w:rsid w:val="45916A36"/>
    <w:rsid w:val="45AA7487"/>
    <w:rsid w:val="45D51846"/>
    <w:rsid w:val="45D85516"/>
    <w:rsid w:val="45F22F46"/>
    <w:rsid w:val="471E6F3B"/>
    <w:rsid w:val="476C4ABD"/>
    <w:rsid w:val="478063F8"/>
    <w:rsid w:val="49043FEE"/>
    <w:rsid w:val="493B526B"/>
    <w:rsid w:val="49630FE5"/>
    <w:rsid w:val="4B4F633B"/>
    <w:rsid w:val="4B534A3A"/>
    <w:rsid w:val="4C951357"/>
    <w:rsid w:val="4E1F244A"/>
    <w:rsid w:val="4F3239C2"/>
    <w:rsid w:val="4F664B66"/>
    <w:rsid w:val="4FA3550E"/>
    <w:rsid w:val="50781F49"/>
    <w:rsid w:val="508425EC"/>
    <w:rsid w:val="50C0089D"/>
    <w:rsid w:val="511F2F07"/>
    <w:rsid w:val="514D073A"/>
    <w:rsid w:val="51CE02C7"/>
    <w:rsid w:val="53A47A9B"/>
    <w:rsid w:val="555B1110"/>
    <w:rsid w:val="558D3555"/>
    <w:rsid w:val="55B93924"/>
    <w:rsid w:val="55BA03E1"/>
    <w:rsid w:val="55FE0ED8"/>
    <w:rsid w:val="5659369F"/>
    <w:rsid w:val="581C0B2C"/>
    <w:rsid w:val="58636669"/>
    <w:rsid w:val="587D1810"/>
    <w:rsid w:val="58F34604"/>
    <w:rsid w:val="599F68E3"/>
    <w:rsid w:val="5B270492"/>
    <w:rsid w:val="5B510E8C"/>
    <w:rsid w:val="5B7956C7"/>
    <w:rsid w:val="5B8C446F"/>
    <w:rsid w:val="5BE83D3C"/>
    <w:rsid w:val="5EE04967"/>
    <w:rsid w:val="5F9A6465"/>
    <w:rsid w:val="6089694B"/>
    <w:rsid w:val="60D14968"/>
    <w:rsid w:val="619B5892"/>
    <w:rsid w:val="624438A2"/>
    <w:rsid w:val="62A20D8A"/>
    <w:rsid w:val="63344D9D"/>
    <w:rsid w:val="64CC0D70"/>
    <w:rsid w:val="65153470"/>
    <w:rsid w:val="65721296"/>
    <w:rsid w:val="6600184A"/>
    <w:rsid w:val="66C943C4"/>
    <w:rsid w:val="66D96478"/>
    <w:rsid w:val="67225E88"/>
    <w:rsid w:val="690B5CA7"/>
    <w:rsid w:val="698545E6"/>
    <w:rsid w:val="69A47A4E"/>
    <w:rsid w:val="6A18658D"/>
    <w:rsid w:val="6AF61B69"/>
    <w:rsid w:val="6BF73CBE"/>
    <w:rsid w:val="6C2916B9"/>
    <w:rsid w:val="6C9D6E93"/>
    <w:rsid w:val="6D440A91"/>
    <w:rsid w:val="6ECC0DAE"/>
    <w:rsid w:val="6FB258B2"/>
    <w:rsid w:val="705F6A24"/>
    <w:rsid w:val="70BB610B"/>
    <w:rsid w:val="71ED1A81"/>
    <w:rsid w:val="722B4DA5"/>
    <w:rsid w:val="72B60DF7"/>
    <w:rsid w:val="72C22304"/>
    <w:rsid w:val="74163D98"/>
    <w:rsid w:val="742C706E"/>
    <w:rsid w:val="74BC6A26"/>
    <w:rsid w:val="74DC7928"/>
    <w:rsid w:val="761D2413"/>
    <w:rsid w:val="770D2700"/>
    <w:rsid w:val="785C24EA"/>
    <w:rsid w:val="791C64C3"/>
    <w:rsid w:val="79562DD5"/>
    <w:rsid w:val="797B501E"/>
    <w:rsid w:val="7A161BC8"/>
    <w:rsid w:val="7AC51B7A"/>
    <w:rsid w:val="7AE25760"/>
    <w:rsid w:val="7B54086B"/>
    <w:rsid w:val="7B566C76"/>
    <w:rsid w:val="7B8D06A1"/>
    <w:rsid w:val="7C281070"/>
    <w:rsid w:val="7C281B5A"/>
    <w:rsid w:val="7D3B062D"/>
    <w:rsid w:val="7D8305D6"/>
    <w:rsid w:val="7DBB09EA"/>
    <w:rsid w:val="7E07008D"/>
    <w:rsid w:val="B75CE8DA"/>
    <w:rsid w:val="D1FE5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semiHidden/>
    <w:unhideWhenUsed/>
    <w:qFormat/>
    <w:uiPriority w:val="9"/>
    <w:pPr>
      <w:keepNext/>
      <w:keepLines/>
      <w:spacing w:beforeLines="0" w:beforeAutospacing="0" w:afterLines="0" w:afterAutospacing="0" w:line="560" w:lineRule="exact"/>
      <w:outlineLvl w:val="2"/>
    </w:p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5528</Words>
  <Characters>6037</Characters>
  <Lines>27</Lines>
  <Paragraphs>7</Paragraphs>
  <TotalTime>30</TotalTime>
  <ScaleCrop>false</ScaleCrop>
  <LinksUpToDate>false</LinksUpToDate>
  <CharactersWithSpaces>6066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2023-03-07T18:53:52Z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99CAA0EDADE446559A53FF0B9955F08F</vt:lpwstr>
  </property>
</Properties>
</file>